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7826" w14:textId="77777777" w:rsidR="00B33F4A" w:rsidRPr="00E92E95" w:rsidRDefault="00B67434">
      <w:pPr>
        <w:rPr>
          <w:b/>
          <w:sz w:val="40"/>
          <w:szCs w:val="40"/>
          <w:lang w:val="it-CH"/>
        </w:rPr>
      </w:pPr>
      <w:r w:rsidRPr="00E92E95">
        <w:rPr>
          <w:b/>
          <w:sz w:val="40"/>
          <w:szCs w:val="40"/>
          <w:lang w:val="it-CH"/>
        </w:rPr>
        <w:t>Ve</w:t>
      </w:r>
      <w:r w:rsidR="003743A7" w:rsidRPr="00E92E95">
        <w:rPr>
          <w:b/>
          <w:sz w:val="40"/>
          <w:szCs w:val="40"/>
          <w:lang w:val="it-CH"/>
        </w:rPr>
        <w:t xml:space="preserve">rnehmlassung zum </w:t>
      </w:r>
      <w:r w:rsidR="00292FE2" w:rsidRPr="00E92E95">
        <w:rPr>
          <w:b/>
          <w:sz w:val="40"/>
          <w:szCs w:val="40"/>
          <w:lang w:val="it-CH"/>
        </w:rPr>
        <w:t>landwirtschaftlichen Verordnungspaket</w:t>
      </w:r>
      <w:r w:rsidR="003743A7" w:rsidRPr="00E92E95">
        <w:rPr>
          <w:b/>
          <w:sz w:val="40"/>
          <w:szCs w:val="40"/>
          <w:lang w:val="it-CH"/>
        </w:rPr>
        <w:t xml:space="preserve"> 2022</w:t>
      </w:r>
    </w:p>
    <w:p w14:paraId="1B7C1EC7" w14:textId="77777777" w:rsidR="00B33F4A" w:rsidRPr="00E92E95" w:rsidRDefault="00B67434">
      <w:pPr>
        <w:rPr>
          <w:b/>
          <w:sz w:val="40"/>
          <w:szCs w:val="40"/>
          <w:lang w:val="it-CH"/>
        </w:rPr>
      </w:pPr>
      <w:r w:rsidRPr="00E92E95">
        <w:rPr>
          <w:b/>
          <w:sz w:val="40"/>
          <w:szCs w:val="40"/>
          <w:lang w:val="it-CH"/>
        </w:rPr>
        <w:t>Procédure de consultation</w:t>
      </w:r>
      <w:r w:rsidR="003743A7" w:rsidRPr="00E92E95">
        <w:rPr>
          <w:b/>
          <w:sz w:val="40"/>
          <w:szCs w:val="40"/>
          <w:lang w:val="it-CH"/>
        </w:rPr>
        <w:t xml:space="preserve"> sur le train d'ordonnances </w:t>
      </w:r>
      <w:r w:rsidR="00292FE2" w:rsidRPr="00E92E95">
        <w:rPr>
          <w:b/>
          <w:sz w:val="40"/>
          <w:szCs w:val="40"/>
          <w:lang w:val="it-CH"/>
        </w:rPr>
        <w:t xml:space="preserve">agricoles </w:t>
      </w:r>
      <w:r w:rsidR="003743A7" w:rsidRPr="00E92E95">
        <w:rPr>
          <w:b/>
          <w:sz w:val="40"/>
          <w:szCs w:val="40"/>
          <w:lang w:val="it-CH"/>
        </w:rPr>
        <w:t>2022</w:t>
      </w:r>
    </w:p>
    <w:p w14:paraId="03B56B06" w14:textId="77777777" w:rsidR="00B33F4A" w:rsidRPr="00292FE2" w:rsidRDefault="00B67434">
      <w:pPr>
        <w:rPr>
          <w:b/>
          <w:sz w:val="40"/>
          <w:szCs w:val="40"/>
          <w:lang w:val="it-CH"/>
        </w:rPr>
      </w:pPr>
      <w:r w:rsidRPr="00292FE2">
        <w:rPr>
          <w:b/>
          <w:sz w:val="40"/>
          <w:szCs w:val="40"/>
          <w:lang w:val="it-CH"/>
        </w:rPr>
        <w:t>Procedura di consultazione</w:t>
      </w:r>
      <w:r w:rsidR="003743A7" w:rsidRPr="00292FE2">
        <w:rPr>
          <w:b/>
          <w:sz w:val="40"/>
          <w:szCs w:val="40"/>
          <w:lang w:val="it-CH"/>
        </w:rPr>
        <w:t xml:space="preserve"> sul pacchetto di ordinanze </w:t>
      </w:r>
      <w:r w:rsidR="00292FE2" w:rsidRPr="00292FE2">
        <w:rPr>
          <w:b/>
          <w:sz w:val="40"/>
          <w:szCs w:val="40"/>
          <w:lang w:val="it-CH"/>
        </w:rPr>
        <w:t xml:space="preserve">agricole </w:t>
      </w:r>
      <w:r w:rsidR="003743A7" w:rsidRPr="00292FE2">
        <w:rPr>
          <w:b/>
          <w:sz w:val="40"/>
          <w:szCs w:val="40"/>
          <w:lang w:val="it-CH"/>
        </w:rPr>
        <w:t>2022</w:t>
      </w:r>
    </w:p>
    <w:tbl>
      <w:tblPr>
        <w:tblW w:w="13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6157A9" w:rsidRPr="003F5D0C" w14:paraId="134E1C6C" w14:textId="77777777" w:rsidTr="006157A9">
        <w:trPr>
          <w:trHeight w:val="1134"/>
        </w:trPr>
        <w:tc>
          <w:tcPr>
            <w:tcW w:w="5306" w:type="dxa"/>
            <w:shd w:val="pct15" w:color="auto" w:fill="auto"/>
          </w:tcPr>
          <w:p w14:paraId="61D77788" w14:textId="77777777" w:rsidR="006157A9" w:rsidRDefault="006157A9" w:rsidP="006157A9">
            <w:pPr>
              <w:rPr>
                <w:lang w:val="it-CH"/>
              </w:rPr>
            </w:pPr>
            <w:r>
              <w:t xml:space="preserve">Organisation / </w:t>
            </w:r>
            <w:proofErr w:type="spellStart"/>
            <w:r>
              <w:t>Organizzazione</w:t>
            </w:r>
            <w:proofErr w:type="spellEnd"/>
          </w:p>
        </w:tc>
        <w:tc>
          <w:tcPr>
            <w:tcW w:w="8692" w:type="dxa"/>
          </w:tcPr>
          <w:p w14:paraId="221178A5" w14:textId="77777777" w:rsidR="006157A9" w:rsidRPr="006157A9" w:rsidRDefault="006157A9" w:rsidP="006157A9">
            <w:r w:rsidRPr="006157A9">
              <w:t>Association des groupements et organisations romands de l’agriculture (AGORA)</w:t>
            </w:r>
          </w:p>
        </w:tc>
      </w:tr>
      <w:tr w:rsidR="006157A9" w14:paraId="34F0A936" w14:textId="77777777" w:rsidTr="006157A9">
        <w:trPr>
          <w:trHeight w:val="1134"/>
        </w:trPr>
        <w:tc>
          <w:tcPr>
            <w:tcW w:w="5306" w:type="dxa"/>
            <w:shd w:val="pct15" w:color="auto" w:fill="auto"/>
          </w:tcPr>
          <w:p w14:paraId="36A523D7" w14:textId="77777777" w:rsidR="006157A9" w:rsidRDefault="006157A9" w:rsidP="006157A9">
            <w:r>
              <w:t xml:space="preserve">Adresse / </w:t>
            </w:r>
            <w:proofErr w:type="spellStart"/>
            <w:r>
              <w:t>Indirizzo</w:t>
            </w:r>
            <w:proofErr w:type="spellEnd"/>
          </w:p>
        </w:tc>
        <w:tc>
          <w:tcPr>
            <w:tcW w:w="8692" w:type="dxa"/>
          </w:tcPr>
          <w:p w14:paraId="785CC951" w14:textId="77777777" w:rsidR="006157A9" w:rsidRPr="006157A9" w:rsidRDefault="006157A9" w:rsidP="006157A9">
            <w:pPr>
              <w:spacing w:after="0" w:line="360" w:lineRule="auto"/>
            </w:pPr>
            <w:r w:rsidRPr="006157A9">
              <w:t>Avenue des Jordils 5</w:t>
            </w:r>
          </w:p>
          <w:p w14:paraId="1AA41CF1" w14:textId="77777777" w:rsidR="006157A9" w:rsidRPr="006157A9" w:rsidRDefault="006157A9" w:rsidP="006157A9">
            <w:pPr>
              <w:spacing w:after="0" w:line="360" w:lineRule="auto"/>
            </w:pPr>
            <w:r w:rsidRPr="006157A9">
              <w:t>Case postale 1080</w:t>
            </w:r>
          </w:p>
          <w:p w14:paraId="24F70E69" w14:textId="77777777" w:rsidR="006157A9" w:rsidRDefault="006157A9" w:rsidP="006157A9">
            <w:pPr>
              <w:spacing w:after="0" w:line="360" w:lineRule="auto"/>
            </w:pPr>
            <w:r>
              <w:t>1001 Lausanne</w:t>
            </w:r>
          </w:p>
        </w:tc>
      </w:tr>
      <w:tr w:rsidR="006157A9" w:rsidRPr="003F5D0C" w14:paraId="08F891EB" w14:textId="77777777" w:rsidTr="006157A9">
        <w:trPr>
          <w:trHeight w:val="1134"/>
        </w:trPr>
        <w:tc>
          <w:tcPr>
            <w:tcW w:w="5306" w:type="dxa"/>
            <w:shd w:val="pct15" w:color="auto" w:fill="auto"/>
          </w:tcPr>
          <w:p w14:paraId="0F985902" w14:textId="77777777" w:rsidR="006157A9" w:rsidRPr="007132B1" w:rsidRDefault="006157A9" w:rsidP="006157A9">
            <w:pPr>
              <w:rPr>
                <w:lang w:val="de-CH"/>
              </w:rPr>
            </w:pPr>
            <w:r w:rsidRPr="007132B1">
              <w:rPr>
                <w:lang w:val="de-CH"/>
              </w:rPr>
              <w:t xml:space="preserve">Datum, Unterschrift / Date et </w:t>
            </w:r>
            <w:proofErr w:type="spellStart"/>
            <w:r w:rsidRPr="007132B1">
              <w:rPr>
                <w:lang w:val="de-CH"/>
              </w:rPr>
              <w:t>signature</w:t>
            </w:r>
            <w:proofErr w:type="spellEnd"/>
            <w:r w:rsidRPr="007132B1">
              <w:rPr>
                <w:lang w:val="de-CH"/>
              </w:rPr>
              <w:t xml:space="preserve"> / Data e </w:t>
            </w:r>
            <w:proofErr w:type="spellStart"/>
            <w:r w:rsidRPr="007132B1">
              <w:rPr>
                <w:lang w:val="de-CH"/>
              </w:rPr>
              <w:t>firma</w:t>
            </w:r>
            <w:proofErr w:type="spellEnd"/>
          </w:p>
        </w:tc>
        <w:tc>
          <w:tcPr>
            <w:tcW w:w="8692" w:type="dxa"/>
          </w:tcPr>
          <w:p w14:paraId="629B53C7" w14:textId="159A660A" w:rsidR="006157A9" w:rsidRPr="006157A9" w:rsidRDefault="006157A9" w:rsidP="006157A9">
            <w:r w:rsidRPr="006157A9">
              <w:t xml:space="preserve">Lausanne, le </w:t>
            </w:r>
            <w:r w:rsidR="007132B1">
              <w:t>5 mai</w:t>
            </w:r>
            <w:r w:rsidR="00877CC7">
              <w:t xml:space="preserve"> 2022</w:t>
            </w:r>
          </w:p>
          <w:p w14:paraId="7BE9E004" w14:textId="77777777" w:rsidR="006157A9" w:rsidRPr="006157A9" w:rsidRDefault="006157A9" w:rsidP="006157A9">
            <w:r w:rsidRPr="0081743E">
              <w:rPr>
                <w:noProof/>
                <w:lang w:eastAsia="fr-CH"/>
              </w:rPr>
              <w:drawing>
                <wp:inline distT="0" distB="0" distL="0" distR="0" wp14:anchorId="3287629D" wp14:editId="0EDEDFA4">
                  <wp:extent cx="1285875" cy="665629"/>
                  <wp:effectExtent l="0" t="0" r="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183" cy="671482"/>
                          </a:xfrm>
                          <a:prstGeom prst="rect">
                            <a:avLst/>
                          </a:prstGeom>
                          <a:noFill/>
                          <a:ln>
                            <a:noFill/>
                          </a:ln>
                        </pic:spPr>
                      </pic:pic>
                    </a:graphicData>
                  </a:graphic>
                </wp:inline>
              </w:drawing>
            </w:r>
            <w:r w:rsidRPr="006157A9">
              <w:t xml:space="preserve">                              </w:t>
            </w:r>
            <w:r w:rsidR="00971C09">
              <w:pict w14:anchorId="17365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7.75pt">
                  <v:imagedata r:id="rId11" o:title=""/>
                </v:shape>
              </w:pict>
            </w:r>
          </w:p>
          <w:p w14:paraId="5643FAC7" w14:textId="77777777" w:rsidR="006157A9" w:rsidRPr="006157A9" w:rsidRDefault="006157A9" w:rsidP="006157A9">
            <w:r w:rsidRPr="006157A9">
              <w:t xml:space="preserve">Bernard </w:t>
            </w:r>
            <w:proofErr w:type="spellStart"/>
            <w:r w:rsidRPr="006157A9">
              <w:t>Leuenberger</w:t>
            </w:r>
            <w:proofErr w:type="spellEnd"/>
            <w:r w:rsidRPr="006157A9">
              <w:t>, président                          Loïc Bardet, directeur</w:t>
            </w:r>
          </w:p>
        </w:tc>
      </w:tr>
    </w:tbl>
    <w:p w14:paraId="43028DE2" w14:textId="77777777" w:rsidR="00B33F4A" w:rsidRDefault="00B67434" w:rsidP="006157A9">
      <w:pPr>
        <w:pBdr>
          <w:top w:val="single" w:sz="4" w:space="1" w:color="auto"/>
          <w:left w:val="single" w:sz="4" w:space="0" w:color="auto"/>
          <w:bottom w:val="single" w:sz="4" w:space="1" w:color="auto"/>
          <w:right w:val="single" w:sz="4" w:space="3" w:color="auto"/>
        </w:pBdr>
        <w:spacing w:before="60" w:after="60"/>
        <w:ind w:right="113"/>
        <w:rPr>
          <w:bCs/>
        </w:rPr>
      </w:pPr>
      <w:r w:rsidRPr="007132B1">
        <w:rPr>
          <w:bCs/>
          <w:lang w:val="de-CH"/>
        </w:rPr>
        <w:t xml:space="preserve">Bitte senden Sie Ihre Stellungnahme elektronisch an </w:t>
      </w:r>
      <w:hyperlink r:id="rId12" w:history="1">
        <w:r w:rsidRPr="007132B1">
          <w:rPr>
            <w:rStyle w:val="Lienhypertexte"/>
            <w:bCs/>
            <w:lang w:val="de-CH"/>
          </w:rPr>
          <w:t>gever@blw.admin.ch</w:t>
        </w:r>
      </w:hyperlink>
      <w:r w:rsidRPr="007132B1">
        <w:rPr>
          <w:bCs/>
          <w:lang w:val="de-CH"/>
        </w:rPr>
        <w:t xml:space="preserve">. </w:t>
      </w:r>
      <w:r w:rsidRPr="007132B1">
        <w:rPr>
          <w:bCs/>
          <w:lang w:val="de-CH"/>
        </w:rPr>
        <w:br/>
      </w:r>
      <w:r w:rsidRPr="007132B1">
        <w:rPr>
          <w:b/>
          <w:bCs/>
          <w:lang w:val="de-CH"/>
        </w:rPr>
        <w:t xml:space="preserve">Sie erleichtern uns die Auswertung, wenn Sie uns Ihre Stellungnahme elektronisch als Word-Dokument zur Verfügung stellen. </w:t>
      </w:r>
      <w:proofErr w:type="spellStart"/>
      <w:r>
        <w:rPr>
          <w:b/>
          <w:bCs/>
        </w:rPr>
        <w:t>Vielen</w:t>
      </w:r>
      <w:proofErr w:type="spellEnd"/>
      <w:r>
        <w:rPr>
          <w:b/>
          <w:bCs/>
        </w:rPr>
        <w:t xml:space="preserve"> </w:t>
      </w:r>
      <w:proofErr w:type="spellStart"/>
      <w:r>
        <w:rPr>
          <w:b/>
          <w:bCs/>
        </w:rPr>
        <w:t>Dank</w:t>
      </w:r>
      <w:proofErr w:type="spellEnd"/>
      <w:r>
        <w:rPr>
          <w:b/>
          <w:bCs/>
        </w:rPr>
        <w:t>.</w:t>
      </w:r>
      <w:r>
        <w:rPr>
          <w:bCs/>
        </w:rPr>
        <w:t xml:space="preserve"> </w:t>
      </w:r>
    </w:p>
    <w:p w14:paraId="5409E2B4" w14:textId="77777777" w:rsidR="00B33F4A" w:rsidRDefault="00B67434" w:rsidP="006157A9">
      <w:pPr>
        <w:pBdr>
          <w:top w:val="single" w:sz="4" w:space="1" w:color="auto"/>
          <w:left w:val="single" w:sz="4" w:space="0" w:color="auto"/>
          <w:bottom w:val="single" w:sz="4" w:space="1" w:color="auto"/>
          <w:right w:val="single" w:sz="4" w:space="3" w:color="auto"/>
        </w:pBdr>
        <w:spacing w:before="60" w:after="60"/>
        <w:ind w:right="113"/>
        <w:rPr>
          <w:szCs w:val="24"/>
          <w:lang w:val="it-CH"/>
        </w:rPr>
      </w:pPr>
      <w:r>
        <w:rPr>
          <w:szCs w:val="24"/>
        </w:rPr>
        <w:t xml:space="preserve">Merci d’envoyer votre prise de position par courrier électronique à </w:t>
      </w:r>
      <w:hyperlink r:id="rId13" w:history="1">
        <w:r>
          <w:rPr>
            <w:rStyle w:val="Lienhypertexte"/>
            <w:szCs w:val="24"/>
          </w:rPr>
          <w:t>gever@blw.admin.ch</w:t>
        </w:r>
      </w:hyperlink>
      <w:r>
        <w:rPr>
          <w:szCs w:val="24"/>
        </w:rPr>
        <w:t xml:space="preserve">. Un envoi </w:t>
      </w:r>
      <w:r>
        <w:rPr>
          <w:b/>
          <w:szCs w:val="24"/>
        </w:rPr>
        <w:t xml:space="preserve">en format Word par courrier électronique facilitera grandement notre travail. </w:t>
      </w:r>
      <w:r>
        <w:rPr>
          <w:b/>
          <w:szCs w:val="24"/>
          <w:lang w:val="it-CH"/>
        </w:rPr>
        <w:t>D’avance, merci beaucoup.</w:t>
      </w:r>
    </w:p>
    <w:p w14:paraId="1A4AF7CC" w14:textId="77777777" w:rsidR="00B33F4A" w:rsidRDefault="00B67434" w:rsidP="006157A9">
      <w:pPr>
        <w:pBdr>
          <w:top w:val="single" w:sz="4" w:space="1" w:color="auto"/>
          <w:left w:val="single" w:sz="4" w:space="0" w:color="auto"/>
          <w:bottom w:val="single" w:sz="4" w:space="1" w:color="auto"/>
          <w:right w:val="single" w:sz="4" w:space="3" w:color="auto"/>
        </w:pBdr>
        <w:spacing w:before="60" w:after="60"/>
        <w:ind w:right="113"/>
        <w:rPr>
          <w:b/>
          <w:bCs/>
          <w:lang w:val="it-CH"/>
        </w:rPr>
      </w:pPr>
      <w:r>
        <w:rPr>
          <w:bCs/>
          <w:szCs w:val="24"/>
          <w:lang w:val="it-CH"/>
        </w:rPr>
        <w:t xml:space="preserve">Vi invitiamo a inoltrare i vostri pareri all'indirizzo di posta elettronica </w:t>
      </w:r>
      <w:r w:rsidR="00637BC5">
        <w:rPr>
          <w:rStyle w:val="Lienhypertexte"/>
          <w:szCs w:val="24"/>
          <w:lang w:val="it-CH"/>
        </w:rPr>
        <w:fldChar w:fldCharType="begin"/>
      </w:r>
      <w:r w:rsidR="00637BC5">
        <w:rPr>
          <w:rStyle w:val="Lienhypertexte"/>
          <w:szCs w:val="24"/>
          <w:lang w:val="it-CH"/>
        </w:rPr>
        <w:instrText xml:space="preserve"> HYPERLINK "mailto:gever@blw.admin.ch" </w:instrText>
      </w:r>
      <w:r w:rsidR="00637BC5">
        <w:rPr>
          <w:rStyle w:val="Lienhypertexte"/>
          <w:szCs w:val="24"/>
          <w:lang w:val="it-CH"/>
        </w:rPr>
        <w:fldChar w:fldCharType="separate"/>
      </w:r>
      <w:r>
        <w:rPr>
          <w:rStyle w:val="Lienhypertexte"/>
          <w:szCs w:val="24"/>
          <w:lang w:val="it-CH"/>
        </w:rPr>
        <w:t>gever@blw.admin.ch</w:t>
      </w:r>
      <w:r w:rsidR="00637BC5">
        <w:rPr>
          <w:rStyle w:val="Lienhypertexte"/>
          <w:szCs w:val="24"/>
          <w:lang w:val="it-CH"/>
        </w:rPr>
        <w:fldChar w:fldCharType="end"/>
      </w:r>
      <w:r>
        <w:rPr>
          <w:bCs/>
          <w:lang w:val="it-CH"/>
        </w:rPr>
        <w:t xml:space="preserve">. </w:t>
      </w:r>
      <w:r>
        <w:rPr>
          <w:b/>
          <w:bCs/>
          <w:lang w:val="it-CH"/>
        </w:rPr>
        <w:t>Onde agevolare la valutazione dei pareri, vi invitiamo a trasmetterci elettronicamente i vostri commenti sotto forma di documento Word. Grazie.</w:t>
      </w:r>
    </w:p>
    <w:p w14:paraId="49110FDF" w14:textId="77777777" w:rsidR="00B33F4A" w:rsidRDefault="00B67434">
      <w:pPr>
        <w:spacing w:after="0"/>
        <w:rPr>
          <w:b/>
        </w:rPr>
      </w:pPr>
      <w:r>
        <w:rPr>
          <w:b/>
        </w:rPr>
        <w:br w:type="page"/>
      </w:r>
    </w:p>
    <w:p w14:paraId="2E9AB1C8" w14:textId="77777777" w:rsidR="00B33F4A" w:rsidRDefault="00B67434">
      <w:pPr>
        <w:pStyle w:val="Titel10Pt"/>
        <w:spacing w:before="40" w:after="40" w:line="240" w:lineRule="auto"/>
      </w:pPr>
      <w:r>
        <w:rPr>
          <w:lang w:val="de-DE"/>
        </w:rPr>
        <w:lastRenderedPageBreak/>
        <w:t xml:space="preserve">Inhalt / </w:t>
      </w:r>
      <w:r>
        <w:t>Contenu</w:t>
      </w:r>
      <w:r>
        <w:rPr>
          <w:lang w:val="de-DE"/>
        </w:rPr>
        <w:t xml:space="preserve"> / </w:t>
      </w:r>
      <w:r>
        <w:rPr>
          <w:lang w:val="it-CH"/>
        </w:rPr>
        <w:t>Indice</w:t>
      </w:r>
    </w:p>
    <w:p w14:paraId="7FA32257" w14:textId="77777777" w:rsidR="00E92E95" w:rsidRDefault="00B67434">
      <w:pPr>
        <w:pStyle w:val="TM1"/>
        <w:rPr>
          <w:rFonts w:asciiTheme="minorHAnsi" w:eastAsiaTheme="minorEastAsia" w:hAnsiTheme="minorHAnsi" w:cstheme="minorBidi"/>
          <w:noProof/>
          <w:sz w:val="22"/>
          <w:szCs w:val="22"/>
        </w:rPr>
      </w:pPr>
      <w:r>
        <w:rPr>
          <w:lang w:val="de-CH"/>
        </w:rPr>
        <w:fldChar w:fldCharType="begin"/>
      </w:r>
      <w:r>
        <w:instrText xml:space="preserve"> TOC \o "1-3" \h \z \u </w:instrText>
      </w:r>
      <w:r>
        <w:rPr>
          <w:lang w:val="de-CH"/>
        </w:rPr>
        <w:fldChar w:fldCharType="separate"/>
      </w:r>
      <w:hyperlink w:anchor="_Toc93667890" w:history="1">
        <w:r w:rsidR="00E92E95" w:rsidRPr="00171022">
          <w:rPr>
            <w:rStyle w:val="Lienhypertexte"/>
            <w:noProof/>
            <w:lang w:val="it-CH"/>
          </w:rPr>
          <w:t>Allgemeine Bemerkungen / Remarques générales / Osservazioni generali</w:t>
        </w:r>
        <w:r w:rsidR="00E92E95">
          <w:rPr>
            <w:noProof/>
            <w:webHidden/>
          </w:rPr>
          <w:tab/>
        </w:r>
        <w:r w:rsidR="00E92E95">
          <w:rPr>
            <w:noProof/>
            <w:webHidden/>
          </w:rPr>
          <w:fldChar w:fldCharType="begin"/>
        </w:r>
        <w:r w:rsidR="00E92E95">
          <w:rPr>
            <w:noProof/>
            <w:webHidden/>
          </w:rPr>
          <w:instrText xml:space="preserve"> PAGEREF _Toc93667890 \h </w:instrText>
        </w:r>
        <w:r w:rsidR="00E92E95">
          <w:rPr>
            <w:noProof/>
            <w:webHidden/>
          </w:rPr>
        </w:r>
        <w:r w:rsidR="00E92E95">
          <w:rPr>
            <w:noProof/>
            <w:webHidden/>
          </w:rPr>
          <w:fldChar w:fldCharType="separate"/>
        </w:r>
        <w:r w:rsidR="00781CE9">
          <w:rPr>
            <w:noProof/>
            <w:webHidden/>
          </w:rPr>
          <w:t>3</w:t>
        </w:r>
        <w:r w:rsidR="00E92E95">
          <w:rPr>
            <w:noProof/>
            <w:webHidden/>
          </w:rPr>
          <w:fldChar w:fldCharType="end"/>
        </w:r>
      </w:hyperlink>
    </w:p>
    <w:p w14:paraId="306957E5" w14:textId="77777777" w:rsidR="00E92E95" w:rsidRDefault="00971C09">
      <w:pPr>
        <w:pStyle w:val="TM1"/>
        <w:rPr>
          <w:rFonts w:asciiTheme="minorHAnsi" w:eastAsiaTheme="minorEastAsia" w:hAnsiTheme="minorHAnsi" w:cstheme="minorBidi"/>
          <w:noProof/>
          <w:sz w:val="22"/>
          <w:szCs w:val="22"/>
        </w:rPr>
      </w:pPr>
      <w:hyperlink w:anchor="_Toc93667891" w:history="1">
        <w:r w:rsidR="00E92E95" w:rsidRPr="00171022">
          <w:rPr>
            <w:rStyle w:val="Lienhypertexte"/>
            <w:noProof/>
          </w:rPr>
          <w:t xml:space="preserve">BR 01 Verordnung über das bäuerliche Bodenrecht / Ordonnance sur le droit foncier rural / </w:t>
        </w:r>
        <w:r w:rsidR="00E92E95" w:rsidRPr="00171022">
          <w:rPr>
            <w:rStyle w:val="Lienhypertexte"/>
            <w:noProof/>
            <w:lang w:val="it-IT"/>
          </w:rPr>
          <w:t>Ordinanza sul diritto fondiario rurale</w:t>
        </w:r>
        <w:r w:rsidR="00E92E95" w:rsidRPr="00171022">
          <w:rPr>
            <w:rStyle w:val="Lienhypertexte"/>
            <w:noProof/>
          </w:rPr>
          <w:t xml:space="preserve"> (211.412.110)</w:t>
        </w:r>
        <w:r w:rsidR="00E92E95">
          <w:rPr>
            <w:noProof/>
            <w:webHidden/>
          </w:rPr>
          <w:tab/>
        </w:r>
        <w:r w:rsidR="00E92E95">
          <w:rPr>
            <w:noProof/>
            <w:webHidden/>
          </w:rPr>
          <w:fldChar w:fldCharType="begin"/>
        </w:r>
        <w:r w:rsidR="00E92E95">
          <w:rPr>
            <w:noProof/>
            <w:webHidden/>
          </w:rPr>
          <w:instrText xml:space="preserve"> PAGEREF _Toc93667891 \h </w:instrText>
        </w:r>
        <w:r w:rsidR="00E92E95">
          <w:rPr>
            <w:noProof/>
            <w:webHidden/>
          </w:rPr>
        </w:r>
        <w:r w:rsidR="00E92E95">
          <w:rPr>
            <w:noProof/>
            <w:webHidden/>
          </w:rPr>
          <w:fldChar w:fldCharType="separate"/>
        </w:r>
        <w:r w:rsidR="00781CE9">
          <w:rPr>
            <w:noProof/>
            <w:webHidden/>
          </w:rPr>
          <w:t>4</w:t>
        </w:r>
        <w:r w:rsidR="00E92E95">
          <w:rPr>
            <w:noProof/>
            <w:webHidden/>
          </w:rPr>
          <w:fldChar w:fldCharType="end"/>
        </w:r>
      </w:hyperlink>
    </w:p>
    <w:p w14:paraId="545DC26F" w14:textId="77777777" w:rsidR="00E92E95" w:rsidRDefault="00971C09">
      <w:pPr>
        <w:pStyle w:val="TM1"/>
        <w:rPr>
          <w:rFonts w:asciiTheme="minorHAnsi" w:eastAsiaTheme="minorEastAsia" w:hAnsiTheme="minorHAnsi" w:cstheme="minorBidi"/>
          <w:noProof/>
          <w:sz w:val="22"/>
          <w:szCs w:val="22"/>
        </w:rPr>
      </w:pPr>
      <w:hyperlink w:anchor="_Toc93667892" w:history="1">
        <w:r w:rsidR="00E92E95" w:rsidRPr="00171022">
          <w:rPr>
            <w:rStyle w:val="Lienhypertexte"/>
            <w:noProof/>
            <w:lang w:val="it-CH"/>
          </w:rPr>
          <w:t>BR 02 Direktzahlungsverordnung / Ordonnance sur les paiements directs / Ordinanza sui pagamenti diretti (910.13)</w:t>
        </w:r>
        <w:r w:rsidR="00E92E95">
          <w:rPr>
            <w:noProof/>
            <w:webHidden/>
          </w:rPr>
          <w:tab/>
        </w:r>
        <w:r w:rsidR="00E92E95">
          <w:rPr>
            <w:noProof/>
            <w:webHidden/>
          </w:rPr>
          <w:fldChar w:fldCharType="begin"/>
        </w:r>
        <w:r w:rsidR="00E92E95">
          <w:rPr>
            <w:noProof/>
            <w:webHidden/>
          </w:rPr>
          <w:instrText xml:space="preserve"> PAGEREF _Toc93667892 \h </w:instrText>
        </w:r>
        <w:r w:rsidR="00E92E95">
          <w:rPr>
            <w:noProof/>
            <w:webHidden/>
          </w:rPr>
        </w:r>
        <w:r w:rsidR="00E92E95">
          <w:rPr>
            <w:noProof/>
            <w:webHidden/>
          </w:rPr>
          <w:fldChar w:fldCharType="separate"/>
        </w:r>
        <w:r w:rsidR="00781CE9">
          <w:rPr>
            <w:noProof/>
            <w:webHidden/>
          </w:rPr>
          <w:t>5</w:t>
        </w:r>
        <w:r w:rsidR="00E92E95">
          <w:rPr>
            <w:noProof/>
            <w:webHidden/>
          </w:rPr>
          <w:fldChar w:fldCharType="end"/>
        </w:r>
      </w:hyperlink>
    </w:p>
    <w:p w14:paraId="2BF8F8CA" w14:textId="77777777" w:rsidR="00E92E95" w:rsidRDefault="00971C09">
      <w:pPr>
        <w:pStyle w:val="TM1"/>
        <w:rPr>
          <w:rFonts w:asciiTheme="minorHAnsi" w:eastAsiaTheme="minorEastAsia" w:hAnsiTheme="minorHAnsi" w:cstheme="minorBidi"/>
          <w:noProof/>
          <w:sz w:val="22"/>
          <w:szCs w:val="22"/>
        </w:rPr>
      </w:pPr>
      <w:hyperlink w:anchor="_Toc93667893" w:history="1">
        <w:r w:rsidR="00E92E95" w:rsidRPr="00171022">
          <w:rPr>
            <w:rStyle w:val="Lienhypertexte"/>
            <w:noProof/>
          </w:rPr>
          <w:t>BR 03 Einzelkulturbeitragsverordnung / Ordonnance sur les contributions à des cultures particulières / Ordinanza sui contributi per singole colture (910.17)</w:t>
        </w:r>
        <w:r w:rsidR="00E92E95">
          <w:rPr>
            <w:noProof/>
            <w:webHidden/>
          </w:rPr>
          <w:tab/>
        </w:r>
        <w:r w:rsidR="00E92E95">
          <w:rPr>
            <w:noProof/>
            <w:webHidden/>
          </w:rPr>
          <w:fldChar w:fldCharType="begin"/>
        </w:r>
        <w:r w:rsidR="00E92E95">
          <w:rPr>
            <w:noProof/>
            <w:webHidden/>
          </w:rPr>
          <w:instrText xml:space="preserve"> PAGEREF _Toc93667893 \h </w:instrText>
        </w:r>
        <w:r w:rsidR="00E92E95">
          <w:rPr>
            <w:noProof/>
            <w:webHidden/>
          </w:rPr>
        </w:r>
        <w:r w:rsidR="00E92E95">
          <w:rPr>
            <w:noProof/>
            <w:webHidden/>
          </w:rPr>
          <w:fldChar w:fldCharType="separate"/>
        </w:r>
        <w:r w:rsidR="00781CE9">
          <w:rPr>
            <w:noProof/>
            <w:webHidden/>
          </w:rPr>
          <w:t>8</w:t>
        </w:r>
        <w:r w:rsidR="00E92E95">
          <w:rPr>
            <w:noProof/>
            <w:webHidden/>
          </w:rPr>
          <w:fldChar w:fldCharType="end"/>
        </w:r>
      </w:hyperlink>
    </w:p>
    <w:p w14:paraId="096D1668" w14:textId="77777777" w:rsidR="00E92E95" w:rsidRDefault="00971C09">
      <w:pPr>
        <w:pStyle w:val="TM1"/>
        <w:rPr>
          <w:rFonts w:asciiTheme="minorHAnsi" w:eastAsiaTheme="minorEastAsia" w:hAnsiTheme="minorHAnsi" w:cstheme="minorBidi"/>
          <w:noProof/>
          <w:sz w:val="22"/>
          <w:szCs w:val="22"/>
        </w:rPr>
      </w:pPr>
      <w:hyperlink w:anchor="_Toc93667894" w:history="1">
        <w:r w:rsidR="00E92E95" w:rsidRPr="00171022">
          <w:rPr>
            <w:rStyle w:val="Lienhypertexte"/>
            <w:noProof/>
          </w:rPr>
          <w:t>BR 04 Verordnung über die Koordination der Kontrollen auf Landwirtschaftsbetrieben / Ordonnance sur la coordination des contrôles dans les exploitations agricoles / Ordinanza sul coordinamento dei controlli delle aziende agricole (910.15)</w:t>
        </w:r>
        <w:r w:rsidR="00E92E95">
          <w:rPr>
            <w:noProof/>
            <w:webHidden/>
          </w:rPr>
          <w:tab/>
        </w:r>
        <w:r w:rsidR="00E92E95">
          <w:rPr>
            <w:noProof/>
            <w:webHidden/>
          </w:rPr>
          <w:fldChar w:fldCharType="begin"/>
        </w:r>
        <w:r w:rsidR="00E92E95">
          <w:rPr>
            <w:noProof/>
            <w:webHidden/>
          </w:rPr>
          <w:instrText xml:space="preserve"> PAGEREF _Toc93667894 \h </w:instrText>
        </w:r>
        <w:r w:rsidR="00E92E95">
          <w:rPr>
            <w:noProof/>
            <w:webHidden/>
          </w:rPr>
        </w:r>
        <w:r w:rsidR="00E92E95">
          <w:rPr>
            <w:noProof/>
            <w:webHidden/>
          </w:rPr>
          <w:fldChar w:fldCharType="separate"/>
        </w:r>
        <w:r w:rsidR="00781CE9">
          <w:rPr>
            <w:noProof/>
            <w:webHidden/>
          </w:rPr>
          <w:t>9</w:t>
        </w:r>
        <w:r w:rsidR="00E92E95">
          <w:rPr>
            <w:noProof/>
            <w:webHidden/>
          </w:rPr>
          <w:fldChar w:fldCharType="end"/>
        </w:r>
      </w:hyperlink>
    </w:p>
    <w:p w14:paraId="39015006" w14:textId="77777777" w:rsidR="00E92E95" w:rsidRDefault="00971C09">
      <w:pPr>
        <w:pStyle w:val="TM1"/>
        <w:rPr>
          <w:rFonts w:asciiTheme="minorHAnsi" w:eastAsiaTheme="minorEastAsia" w:hAnsiTheme="minorHAnsi" w:cstheme="minorBidi"/>
          <w:noProof/>
          <w:sz w:val="22"/>
          <w:szCs w:val="22"/>
        </w:rPr>
      </w:pPr>
      <w:hyperlink w:anchor="_Toc93667895" w:history="1">
        <w:r w:rsidR="00E92E95" w:rsidRPr="00171022">
          <w:rPr>
            <w:rStyle w:val="Lienhypertexte"/>
            <w:noProof/>
            <w:lang w:val="it-CH"/>
          </w:rPr>
          <w:t>BR 05 Bio-Verordnung / Ordonnance sur l’agriculture biologique / Ordinanza sull’agricoltura biologica (910.18)</w:t>
        </w:r>
        <w:r w:rsidR="00E92E95">
          <w:rPr>
            <w:noProof/>
            <w:webHidden/>
          </w:rPr>
          <w:tab/>
        </w:r>
        <w:r w:rsidR="00E92E95">
          <w:rPr>
            <w:noProof/>
            <w:webHidden/>
          </w:rPr>
          <w:fldChar w:fldCharType="begin"/>
        </w:r>
        <w:r w:rsidR="00E92E95">
          <w:rPr>
            <w:noProof/>
            <w:webHidden/>
          </w:rPr>
          <w:instrText xml:space="preserve"> PAGEREF _Toc93667895 \h </w:instrText>
        </w:r>
        <w:r w:rsidR="00E92E95">
          <w:rPr>
            <w:noProof/>
            <w:webHidden/>
          </w:rPr>
        </w:r>
        <w:r w:rsidR="00E92E95">
          <w:rPr>
            <w:noProof/>
            <w:webHidden/>
          </w:rPr>
          <w:fldChar w:fldCharType="separate"/>
        </w:r>
        <w:r w:rsidR="00781CE9">
          <w:rPr>
            <w:noProof/>
            <w:webHidden/>
          </w:rPr>
          <w:t>10</w:t>
        </w:r>
        <w:r w:rsidR="00E92E95">
          <w:rPr>
            <w:noProof/>
            <w:webHidden/>
          </w:rPr>
          <w:fldChar w:fldCharType="end"/>
        </w:r>
      </w:hyperlink>
    </w:p>
    <w:p w14:paraId="0267D185" w14:textId="77777777" w:rsidR="00E92E95" w:rsidRDefault="00971C09">
      <w:pPr>
        <w:pStyle w:val="TM1"/>
        <w:rPr>
          <w:rFonts w:asciiTheme="minorHAnsi" w:eastAsiaTheme="minorEastAsia" w:hAnsiTheme="minorHAnsi" w:cstheme="minorBidi"/>
          <w:noProof/>
          <w:sz w:val="22"/>
          <w:szCs w:val="22"/>
        </w:rPr>
      </w:pPr>
      <w:hyperlink w:anchor="_Toc93667896" w:history="1">
        <w:r w:rsidR="00E92E95" w:rsidRPr="00171022">
          <w:rPr>
            <w:rStyle w:val="Lienhypertexte"/>
            <w:noProof/>
            <w:lang w:val="it-CH"/>
          </w:rPr>
          <w:t>BR 06 Landwirtschaftliche Begriffsverordnung / Ordonnance sur la terminologie agricole / Ordinanza sulla terminologia agricola (910.91)</w:t>
        </w:r>
        <w:r w:rsidR="00E92E95">
          <w:rPr>
            <w:noProof/>
            <w:webHidden/>
          </w:rPr>
          <w:tab/>
        </w:r>
        <w:r w:rsidR="00E92E95">
          <w:rPr>
            <w:noProof/>
            <w:webHidden/>
          </w:rPr>
          <w:fldChar w:fldCharType="begin"/>
        </w:r>
        <w:r w:rsidR="00E92E95">
          <w:rPr>
            <w:noProof/>
            <w:webHidden/>
          </w:rPr>
          <w:instrText xml:space="preserve"> PAGEREF _Toc93667896 \h </w:instrText>
        </w:r>
        <w:r w:rsidR="00E92E95">
          <w:rPr>
            <w:noProof/>
            <w:webHidden/>
          </w:rPr>
        </w:r>
        <w:r w:rsidR="00E92E95">
          <w:rPr>
            <w:noProof/>
            <w:webHidden/>
          </w:rPr>
          <w:fldChar w:fldCharType="separate"/>
        </w:r>
        <w:r w:rsidR="00781CE9">
          <w:rPr>
            <w:noProof/>
            <w:webHidden/>
          </w:rPr>
          <w:t>11</w:t>
        </w:r>
        <w:r w:rsidR="00E92E95">
          <w:rPr>
            <w:noProof/>
            <w:webHidden/>
          </w:rPr>
          <w:fldChar w:fldCharType="end"/>
        </w:r>
      </w:hyperlink>
    </w:p>
    <w:p w14:paraId="63DD9EE6" w14:textId="77777777" w:rsidR="00E92E95" w:rsidRDefault="00971C09">
      <w:pPr>
        <w:pStyle w:val="TM1"/>
        <w:rPr>
          <w:rFonts w:asciiTheme="minorHAnsi" w:eastAsiaTheme="minorEastAsia" w:hAnsiTheme="minorHAnsi" w:cstheme="minorBidi"/>
          <w:noProof/>
          <w:sz w:val="22"/>
          <w:szCs w:val="22"/>
        </w:rPr>
      </w:pPr>
      <w:hyperlink w:anchor="_Toc93667897" w:history="1">
        <w:r w:rsidR="00E92E95" w:rsidRPr="00171022">
          <w:rPr>
            <w:rStyle w:val="Lienhypertexte"/>
            <w:noProof/>
          </w:rPr>
          <w:t>BR 07 Strukturverbesserungsverordnung / Ordonnance sur les améliorations structurelles / Ordinanza sui miglioramenti strutturali (913.1)</w:t>
        </w:r>
        <w:r w:rsidR="00E92E95">
          <w:rPr>
            <w:noProof/>
            <w:webHidden/>
          </w:rPr>
          <w:tab/>
        </w:r>
        <w:r w:rsidR="00E92E95">
          <w:rPr>
            <w:noProof/>
            <w:webHidden/>
          </w:rPr>
          <w:fldChar w:fldCharType="begin"/>
        </w:r>
        <w:r w:rsidR="00E92E95">
          <w:rPr>
            <w:noProof/>
            <w:webHidden/>
          </w:rPr>
          <w:instrText xml:space="preserve"> PAGEREF _Toc93667897 \h </w:instrText>
        </w:r>
        <w:r w:rsidR="00E92E95">
          <w:rPr>
            <w:noProof/>
            <w:webHidden/>
          </w:rPr>
        </w:r>
        <w:r w:rsidR="00E92E95">
          <w:rPr>
            <w:noProof/>
            <w:webHidden/>
          </w:rPr>
          <w:fldChar w:fldCharType="separate"/>
        </w:r>
        <w:r w:rsidR="00781CE9">
          <w:rPr>
            <w:noProof/>
            <w:webHidden/>
          </w:rPr>
          <w:t>12</w:t>
        </w:r>
        <w:r w:rsidR="00E92E95">
          <w:rPr>
            <w:noProof/>
            <w:webHidden/>
          </w:rPr>
          <w:fldChar w:fldCharType="end"/>
        </w:r>
      </w:hyperlink>
    </w:p>
    <w:p w14:paraId="4825D79D" w14:textId="77777777" w:rsidR="00E92E95" w:rsidRDefault="00971C09">
      <w:pPr>
        <w:pStyle w:val="TM1"/>
        <w:rPr>
          <w:rFonts w:asciiTheme="minorHAnsi" w:eastAsiaTheme="minorEastAsia" w:hAnsiTheme="minorHAnsi" w:cstheme="minorBidi"/>
          <w:noProof/>
          <w:sz w:val="22"/>
          <w:szCs w:val="22"/>
        </w:rPr>
      </w:pPr>
      <w:hyperlink w:anchor="_Toc93667898" w:history="1">
        <w:r w:rsidR="00E92E95" w:rsidRPr="00171022">
          <w:rPr>
            <w:rStyle w:val="Lienhypertexte"/>
            <w:noProof/>
            <w:lang w:val="it-CH"/>
          </w:rPr>
          <w:t>BR 08 Verordnung über die sozialen Begleitmassnahmen in der Landwirtschaft / Ordonnance sur les mesures d’accompagnement social dans l’agriculture / Ordinanza concernente le misure sociali collaterali nell’agricoltura (914.11)</w:t>
        </w:r>
        <w:r w:rsidR="00E92E95">
          <w:rPr>
            <w:noProof/>
            <w:webHidden/>
          </w:rPr>
          <w:tab/>
        </w:r>
        <w:r w:rsidR="00E92E95">
          <w:rPr>
            <w:noProof/>
            <w:webHidden/>
          </w:rPr>
          <w:fldChar w:fldCharType="begin"/>
        </w:r>
        <w:r w:rsidR="00E92E95">
          <w:rPr>
            <w:noProof/>
            <w:webHidden/>
          </w:rPr>
          <w:instrText xml:space="preserve"> PAGEREF _Toc93667898 \h </w:instrText>
        </w:r>
        <w:r w:rsidR="00E92E95">
          <w:rPr>
            <w:noProof/>
            <w:webHidden/>
          </w:rPr>
        </w:r>
        <w:r w:rsidR="00E92E95">
          <w:rPr>
            <w:noProof/>
            <w:webHidden/>
          </w:rPr>
          <w:fldChar w:fldCharType="separate"/>
        </w:r>
        <w:r w:rsidR="00781CE9">
          <w:rPr>
            <w:noProof/>
            <w:webHidden/>
          </w:rPr>
          <w:t>16</w:t>
        </w:r>
        <w:r w:rsidR="00E92E95">
          <w:rPr>
            <w:noProof/>
            <w:webHidden/>
          </w:rPr>
          <w:fldChar w:fldCharType="end"/>
        </w:r>
      </w:hyperlink>
    </w:p>
    <w:p w14:paraId="6ECD8EC1" w14:textId="77777777" w:rsidR="00E92E95" w:rsidRDefault="00971C09">
      <w:pPr>
        <w:pStyle w:val="TM1"/>
        <w:rPr>
          <w:rFonts w:asciiTheme="minorHAnsi" w:eastAsiaTheme="minorEastAsia" w:hAnsiTheme="minorHAnsi" w:cstheme="minorBidi"/>
          <w:noProof/>
          <w:sz w:val="22"/>
          <w:szCs w:val="22"/>
        </w:rPr>
      </w:pPr>
      <w:hyperlink w:anchor="_Toc93667899" w:history="1">
        <w:r w:rsidR="00E92E95" w:rsidRPr="00171022">
          <w:rPr>
            <w:rStyle w:val="Lienhypertexte"/>
            <w:noProof/>
            <w:lang w:val="it-CH"/>
          </w:rPr>
          <w:t>BR 09 Verordnung über die Ein- und Ausfuhr von Gemüse, Obst und Gartenbauerzeugnissen / Ordonnance sur l’importation et l’exportation de légumes, de fruits et de plantes horticoles / Ordinanza concernente l’importazione e l’esportazione di verdura, frutta e prodotti della floricoltura (916.121.10)</w:t>
        </w:r>
        <w:r w:rsidR="00E92E95">
          <w:rPr>
            <w:noProof/>
            <w:webHidden/>
          </w:rPr>
          <w:tab/>
        </w:r>
        <w:r w:rsidR="00E92E95">
          <w:rPr>
            <w:noProof/>
            <w:webHidden/>
          </w:rPr>
          <w:fldChar w:fldCharType="begin"/>
        </w:r>
        <w:r w:rsidR="00E92E95">
          <w:rPr>
            <w:noProof/>
            <w:webHidden/>
          </w:rPr>
          <w:instrText xml:space="preserve"> PAGEREF _Toc93667899 \h </w:instrText>
        </w:r>
        <w:r w:rsidR="00E92E95">
          <w:rPr>
            <w:noProof/>
            <w:webHidden/>
          </w:rPr>
        </w:r>
        <w:r w:rsidR="00E92E95">
          <w:rPr>
            <w:noProof/>
            <w:webHidden/>
          </w:rPr>
          <w:fldChar w:fldCharType="separate"/>
        </w:r>
        <w:r w:rsidR="00781CE9">
          <w:rPr>
            <w:noProof/>
            <w:webHidden/>
          </w:rPr>
          <w:t>17</w:t>
        </w:r>
        <w:r w:rsidR="00E92E95">
          <w:rPr>
            <w:noProof/>
            <w:webHidden/>
          </w:rPr>
          <w:fldChar w:fldCharType="end"/>
        </w:r>
      </w:hyperlink>
    </w:p>
    <w:p w14:paraId="5EEA7175" w14:textId="77777777" w:rsidR="00E92E95" w:rsidRDefault="00971C09">
      <w:pPr>
        <w:pStyle w:val="TM1"/>
        <w:rPr>
          <w:rFonts w:asciiTheme="minorHAnsi" w:eastAsiaTheme="minorEastAsia" w:hAnsiTheme="minorHAnsi" w:cstheme="minorBidi"/>
          <w:noProof/>
          <w:sz w:val="22"/>
          <w:szCs w:val="22"/>
        </w:rPr>
      </w:pPr>
      <w:hyperlink w:anchor="_Toc93667900" w:history="1">
        <w:r w:rsidR="00E92E95" w:rsidRPr="00171022">
          <w:rPr>
            <w:rStyle w:val="Lienhypertexte"/>
            <w:noProof/>
            <w:lang w:val="it-CH"/>
          </w:rPr>
          <w:t>BR 10 Weinverordnung / Ordonnance sur le vin / Ordinanza sul vino (916.140)</w:t>
        </w:r>
        <w:r w:rsidR="00E92E95">
          <w:rPr>
            <w:noProof/>
            <w:webHidden/>
          </w:rPr>
          <w:tab/>
        </w:r>
        <w:r w:rsidR="00E92E95">
          <w:rPr>
            <w:noProof/>
            <w:webHidden/>
          </w:rPr>
          <w:fldChar w:fldCharType="begin"/>
        </w:r>
        <w:r w:rsidR="00E92E95">
          <w:rPr>
            <w:noProof/>
            <w:webHidden/>
          </w:rPr>
          <w:instrText xml:space="preserve"> PAGEREF _Toc93667900 \h </w:instrText>
        </w:r>
        <w:r w:rsidR="00E92E95">
          <w:rPr>
            <w:noProof/>
            <w:webHidden/>
          </w:rPr>
        </w:r>
        <w:r w:rsidR="00E92E95">
          <w:rPr>
            <w:noProof/>
            <w:webHidden/>
          </w:rPr>
          <w:fldChar w:fldCharType="separate"/>
        </w:r>
        <w:r w:rsidR="00781CE9">
          <w:rPr>
            <w:noProof/>
            <w:webHidden/>
          </w:rPr>
          <w:t>18</w:t>
        </w:r>
        <w:r w:rsidR="00E92E95">
          <w:rPr>
            <w:noProof/>
            <w:webHidden/>
          </w:rPr>
          <w:fldChar w:fldCharType="end"/>
        </w:r>
      </w:hyperlink>
    </w:p>
    <w:p w14:paraId="630F6C58" w14:textId="77777777" w:rsidR="00E92E95" w:rsidRDefault="00971C09">
      <w:pPr>
        <w:pStyle w:val="TM1"/>
        <w:rPr>
          <w:rFonts w:asciiTheme="minorHAnsi" w:eastAsiaTheme="minorEastAsia" w:hAnsiTheme="minorHAnsi" w:cstheme="minorBidi"/>
          <w:noProof/>
          <w:sz w:val="22"/>
          <w:szCs w:val="22"/>
        </w:rPr>
      </w:pPr>
      <w:hyperlink w:anchor="_Toc93667901" w:history="1">
        <w:r w:rsidR="00E92E95" w:rsidRPr="00171022">
          <w:rPr>
            <w:rStyle w:val="Lienhypertexte"/>
            <w:noProof/>
          </w:rPr>
          <w:t>BR 11 Pflanzengesundheitsverordnung / Ordonnance sur la santé des végétaux / Ordinanza sulla salute dei vegetali (916.20)</w:t>
        </w:r>
        <w:r w:rsidR="00E92E95">
          <w:rPr>
            <w:noProof/>
            <w:webHidden/>
          </w:rPr>
          <w:tab/>
        </w:r>
        <w:r w:rsidR="00E92E95">
          <w:rPr>
            <w:noProof/>
            <w:webHidden/>
          </w:rPr>
          <w:fldChar w:fldCharType="begin"/>
        </w:r>
        <w:r w:rsidR="00E92E95">
          <w:rPr>
            <w:noProof/>
            <w:webHidden/>
          </w:rPr>
          <w:instrText xml:space="preserve"> PAGEREF _Toc93667901 \h </w:instrText>
        </w:r>
        <w:r w:rsidR="00E92E95">
          <w:rPr>
            <w:noProof/>
            <w:webHidden/>
          </w:rPr>
        </w:r>
        <w:r w:rsidR="00E92E95">
          <w:rPr>
            <w:noProof/>
            <w:webHidden/>
          </w:rPr>
          <w:fldChar w:fldCharType="separate"/>
        </w:r>
        <w:r w:rsidR="00781CE9">
          <w:rPr>
            <w:noProof/>
            <w:webHidden/>
          </w:rPr>
          <w:t>19</w:t>
        </w:r>
        <w:r w:rsidR="00E92E95">
          <w:rPr>
            <w:noProof/>
            <w:webHidden/>
          </w:rPr>
          <w:fldChar w:fldCharType="end"/>
        </w:r>
      </w:hyperlink>
    </w:p>
    <w:p w14:paraId="61BC59D0" w14:textId="77777777" w:rsidR="00E92E95" w:rsidRDefault="00971C09">
      <w:pPr>
        <w:pStyle w:val="TM1"/>
        <w:rPr>
          <w:rFonts w:asciiTheme="minorHAnsi" w:eastAsiaTheme="minorEastAsia" w:hAnsiTheme="minorHAnsi" w:cstheme="minorBidi"/>
          <w:noProof/>
          <w:sz w:val="22"/>
          <w:szCs w:val="22"/>
        </w:rPr>
      </w:pPr>
      <w:hyperlink w:anchor="_Toc93667902" w:history="1">
        <w:r w:rsidR="00E92E95" w:rsidRPr="00171022">
          <w:rPr>
            <w:rStyle w:val="Lienhypertexte"/>
            <w:noProof/>
          </w:rPr>
          <w:t>BR 12 Futtermittel-Verordnung / Ordonnance sur les aliments pour animaux / Ordinanza sugli alimenti per animali (916.307)</w:t>
        </w:r>
        <w:r w:rsidR="00E92E95">
          <w:rPr>
            <w:noProof/>
            <w:webHidden/>
          </w:rPr>
          <w:tab/>
        </w:r>
        <w:r w:rsidR="00E92E95">
          <w:rPr>
            <w:noProof/>
            <w:webHidden/>
          </w:rPr>
          <w:fldChar w:fldCharType="begin"/>
        </w:r>
        <w:r w:rsidR="00E92E95">
          <w:rPr>
            <w:noProof/>
            <w:webHidden/>
          </w:rPr>
          <w:instrText xml:space="preserve"> PAGEREF _Toc93667902 \h </w:instrText>
        </w:r>
        <w:r w:rsidR="00E92E95">
          <w:rPr>
            <w:noProof/>
            <w:webHidden/>
          </w:rPr>
        </w:r>
        <w:r w:rsidR="00E92E95">
          <w:rPr>
            <w:noProof/>
            <w:webHidden/>
          </w:rPr>
          <w:fldChar w:fldCharType="separate"/>
        </w:r>
        <w:r w:rsidR="00781CE9">
          <w:rPr>
            <w:noProof/>
            <w:webHidden/>
          </w:rPr>
          <w:t>20</w:t>
        </w:r>
        <w:r w:rsidR="00E92E95">
          <w:rPr>
            <w:noProof/>
            <w:webHidden/>
          </w:rPr>
          <w:fldChar w:fldCharType="end"/>
        </w:r>
      </w:hyperlink>
    </w:p>
    <w:p w14:paraId="11CE6558" w14:textId="77777777" w:rsidR="00E92E95" w:rsidRDefault="00971C09">
      <w:pPr>
        <w:pStyle w:val="TM1"/>
        <w:rPr>
          <w:rFonts w:asciiTheme="minorHAnsi" w:eastAsiaTheme="minorEastAsia" w:hAnsiTheme="minorHAnsi" w:cstheme="minorBidi"/>
          <w:noProof/>
          <w:sz w:val="22"/>
          <w:szCs w:val="22"/>
        </w:rPr>
      </w:pPr>
      <w:hyperlink w:anchor="_Toc93667903" w:history="1">
        <w:r w:rsidR="00E92E95" w:rsidRPr="00171022">
          <w:rPr>
            <w:rStyle w:val="Lienhypertexte"/>
            <w:noProof/>
            <w:lang w:val="it-CH"/>
          </w:rPr>
          <w:t>BR 13 Tierzuchtverordnung / Ordonnance sur l’élevage / Ordinanza sull’allevamento di animali (916.310)</w:t>
        </w:r>
        <w:r w:rsidR="00E92E95">
          <w:rPr>
            <w:noProof/>
            <w:webHidden/>
          </w:rPr>
          <w:tab/>
        </w:r>
        <w:r w:rsidR="00E92E95">
          <w:rPr>
            <w:noProof/>
            <w:webHidden/>
          </w:rPr>
          <w:fldChar w:fldCharType="begin"/>
        </w:r>
        <w:r w:rsidR="00E92E95">
          <w:rPr>
            <w:noProof/>
            <w:webHidden/>
          </w:rPr>
          <w:instrText xml:space="preserve"> PAGEREF _Toc93667903 \h </w:instrText>
        </w:r>
        <w:r w:rsidR="00E92E95">
          <w:rPr>
            <w:noProof/>
            <w:webHidden/>
          </w:rPr>
        </w:r>
        <w:r w:rsidR="00E92E95">
          <w:rPr>
            <w:noProof/>
            <w:webHidden/>
          </w:rPr>
          <w:fldChar w:fldCharType="separate"/>
        </w:r>
        <w:r w:rsidR="00781CE9">
          <w:rPr>
            <w:noProof/>
            <w:webHidden/>
          </w:rPr>
          <w:t>21</w:t>
        </w:r>
        <w:r w:rsidR="00E92E95">
          <w:rPr>
            <w:noProof/>
            <w:webHidden/>
          </w:rPr>
          <w:fldChar w:fldCharType="end"/>
        </w:r>
      </w:hyperlink>
    </w:p>
    <w:p w14:paraId="3612A036" w14:textId="77777777" w:rsidR="00E92E95" w:rsidRDefault="00971C09">
      <w:pPr>
        <w:pStyle w:val="TM1"/>
        <w:rPr>
          <w:rFonts w:asciiTheme="minorHAnsi" w:eastAsiaTheme="minorEastAsia" w:hAnsiTheme="minorHAnsi" w:cstheme="minorBidi"/>
          <w:noProof/>
          <w:sz w:val="22"/>
          <w:szCs w:val="22"/>
        </w:rPr>
      </w:pPr>
      <w:hyperlink w:anchor="_Toc93667904" w:history="1">
        <w:r w:rsidR="00E92E95" w:rsidRPr="00171022">
          <w:rPr>
            <w:rStyle w:val="Lienhypertexte"/>
            <w:noProof/>
          </w:rPr>
          <w:t>BR 14 Schlachtviehverordnung / Ordonnance sur le bétail de boucherie / Ordinanza sul bestiame da macello (916.341)</w:t>
        </w:r>
        <w:r w:rsidR="00E92E95">
          <w:rPr>
            <w:noProof/>
            <w:webHidden/>
          </w:rPr>
          <w:tab/>
        </w:r>
        <w:r w:rsidR="00E92E95">
          <w:rPr>
            <w:noProof/>
            <w:webHidden/>
          </w:rPr>
          <w:fldChar w:fldCharType="begin"/>
        </w:r>
        <w:r w:rsidR="00E92E95">
          <w:rPr>
            <w:noProof/>
            <w:webHidden/>
          </w:rPr>
          <w:instrText xml:space="preserve"> PAGEREF _Toc93667904 \h </w:instrText>
        </w:r>
        <w:r w:rsidR="00E92E95">
          <w:rPr>
            <w:noProof/>
            <w:webHidden/>
          </w:rPr>
        </w:r>
        <w:r w:rsidR="00E92E95">
          <w:rPr>
            <w:noProof/>
            <w:webHidden/>
          </w:rPr>
          <w:fldChar w:fldCharType="separate"/>
        </w:r>
        <w:r w:rsidR="00781CE9">
          <w:rPr>
            <w:noProof/>
            <w:webHidden/>
          </w:rPr>
          <w:t>24</w:t>
        </w:r>
        <w:r w:rsidR="00E92E95">
          <w:rPr>
            <w:noProof/>
            <w:webHidden/>
          </w:rPr>
          <w:fldChar w:fldCharType="end"/>
        </w:r>
      </w:hyperlink>
    </w:p>
    <w:p w14:paraId="0398F6C9" w14:textId="77777777" w:rsidR="00E92E95" w:rsidRDefault="00971C09">
      <w:pPr>
        <w:pStyle w:val="TM1"/>
        <w:rPr>
          <w:rFonts w:asciiTheme="minorHAnsi" w:eastAsiaTheme="minorEastAsia" w:hAnsiTheme="minorHAnsi" w:cstheme="minorBidi"/>
          <w:noProof/>
          <w:sz w:val="22"/>
          <w:szCs w:val="22"/>
        </w:rPr>
      </w:pPr>
      <w:hyperlink w:anchor="_Toc93667905" w:history="1">
        <w:r w:rsidR="00E92E95" w:rsidRPr="00171022">
          <w:rPr>
            <w:rStyle w:val="Lienhypertexte"/>
            <w:noProof/>
          </w:rPr>
          <w:t>BR 15 Milchpreisstützungsverordnung / Ordonnance sur le soutien du prix du lait / Ordinanza sul sostegno del prezzo del latte (916.350.2)</w:t>
        </w:r>
        <w:r w:rsidR="00E92E95">
          <w:rPr>
            <w:noProof/>
            <w:webHidden/>
          </w:rPr>
          <w:tab/>
        </w:r>
        <w:r w:rsidR="00E92E95">
          <w:rPr>
            <w:noProof/>
            <w:webHidden/>
          </w:rPr>
          <w:fldChar w:fldCharType="begin"/>
        </w:r>
        <w:r w:rsidR="00E92E95">
          <w:rPr>
            <w:noProof/>
            <w:webHidden/>
          </w:rPr>
          <w:instrText xml:space="preserve"> PAGEREF _Toc93667905 \h </w:instrText>
        </w:r>
        <w:r w:rsidR="00E92E95">
          <w:rPr>
            <w:noProof/>
            <w:webHidden/>
          </w:rPr>
        </w:r>
        <w:r w:rsidR="00E92E95">
          <w:rPr>
            <w:noProof/>
            <w:webHidden/>
          </w:rPr>
          <w:fldChar w:fldCharType="separate"/>
        </w:r>
        <w:r w:rsidR="00781CE9">
          <w:rPr>
            <w:noProof/>
            <w:webHidden/>
          </w:rPr>
          <w:t>25</w:t>
        </w:r>
        <w:r w:rsidR="00E92E95">
          <w:rPr>
            <w:noProof/>
            <w:webHidden/>
          </w:rPr>
          <w:fldChar w:fldCharType="end"/>
        </w:r>
      </w:hyperlink>
    </w:p>
    <w:p w14:paraId="1E403538" w14:textId="77777777" w:rsidR="00E92E95" w:rsidRDefault="00971C09">
      <w:pPr>
        <w:pStyle w:val="TM1"/>
        <w:rPr>
          <w:rFonts w:asciiTheme="minorHAnsi" w:eastAsiaTheme="minorEastAsia" w:hAnsiTheme="minorHAnsi" w:cstheme="minorBidi"/>
          <w:noProof/>
          <w:sz w:val="22"/>
          <w:szCs w:val="22"/>
        </w:rPr>
      </w:pPr>
      <w:hyperlink w:anchor="_Toc93667906" w:history="1">
        <w:r w:rsidR="00E92E95" w:rsidRPr="00171022">
          <w:rPr>
            <w:rStyle w:val="Lienhypertexte"/>
            <w:noProof/>
          </w:rPr>
          <w:t>BR 16 Verordnung über die Identitas AG und die Tierverkehrsdatenbank / Ordonnance relative à Identitas SA et à la banque de données sur le trafic des animaux / Ordinanza concernente Identitas AG e la banca dati sul traffico di animali (916.404.1)</w:t>
        </w:r>
        <w:r w:rsidR="00E92E95">
          <w:rPr>
            <w:noProof/>
            <w:webHidden/>
          </w:rPr>
          <w:tab/>
        </w:r>
        <w:r w:rsidR="00E92E95">
          <w:rPr>
            <w:noProof/>
            <w:webHidden/>
          </w:rPr>
          <w:fldChar w:fldCharType="begin"/>
        </w:r>
        <w:r w:rsidR="00E92E95">
          <w:rPr>
            <w:noProof/>
            <w:webHidden/>
          </w:rPr>
          <w:instrText xml:space="preserve"> PAGEREF _Toc93667906 \h </w:instrText>
        </w:r>
        <w:r w:rsidR="00E92E95">
          <w:rPr>
            <w:noProof/>
            <w:webHidden/>
          </w:rPr>
        </w:r>
        <w:r w:rsidR="00E92E95">
          <w:rPr>
            <w:noProof/>
            <w:webHidden/>
          </w:rPr>
          <w:fldChar w:fldCharType="separate"/>
        </w:r>
        <w:r w:rsidR="00781CE9">
          <w:rPr>
            <w:noProof/>
            <w:webHidden/>
          </w:rPr>
          <w:t>26</w:t>
        </w:r>
        <w:r w:rsidR="00E92E95">
          <w:rPr>
            <w:noProof/>
            <w:webHidden/>
          </w:rPr>
          <w:fldChar w:fldCharType="end"/>
        </w:r>
      </w:hyperlink>
    </w:p>
    <w:p w14:paraId="204661AA" w14:textId="77777777" w:rsidR="00E92E95" w:rsidRDefault="00971C09">
      <w:pPr>
        <w:pStyle w:val="TM1"/>
        <w:rPr>
          <w:rFonts w:asciiTheme="minorHAnsi" w:eastAsiaTheme="minorEastAsia" w:hAnsiTheme="minorHAnsi" w:cstheme="minorBidi"/>
          <w:noProof/>
          <w:sz w:val="22"/>
          <w:szCs w:val="22"/>
        </w:rPr>
      </w:pPr>
      <w:hyperlink w:anchor="_Toc93667907" w:history="1">
        <w:r w:rsidR="00E92E95" w:rsidRPr="00171022">
          <w:rPr>
            <w:rStyle w:val="Lienhypertexte"/>
            <w:noProof/>
          </w:rPr>
          <w:t>BR 17 Nationalstrassenverordnung / Ordonnance sur les routes nationales / Ordinanza sulle strade nazionali (725.111)</w:t>
        </w:r>
        <w:r w:rsidR="00E92E95">
          <w:rPr>
            <w:noProof/>
            <w:webHidden/>
          </w:rPr>
          <w:tab/>
        </w:r>
        <w:r w:rsidR="00E92E95">
          <w:rPr>
            <w:noProof/>
            <w:webHidden/>
          </w:rPr>
          <w:fldChar w:fldCharType="begin"/>
        </w:r>
        <w:r w:rsidR="00E92E95">
          <w:rPr>
            <w:noProof/>
            <w:webHidden/>
          </w:rPr>
          <w:instrText xml:space="preserve"> PAGEREF _Toc93667907 \h </w:instrText>
        </w:r>
        <w:r w:rsidR="00E92E95">
          <w:rPr>
            <w:noProof/>
            <w:webHidden/>
          </w:rPr>
        </w:r>
        <w:r w:rsidR="00E92E95">
          <w:rPr>
            <w:noProof/>
            <w:webHidden/>
          </w:rPr>
          <w:fldChar w:fldCharType="separate"/>
        </w:r>
        <w:r w:rsidR="00781CE9">
          <w:rPr>
            <w:noProof/>
            <w:webHidden/>
          </w:rPr>
          <w:t>27</w:t>
        </w:r>
        <w:r w:rsidR="00E92E95">
          <w:rPr>
            <w:noProof/>
            <w:webHidden/>
          </w:rPr>
          <w:fldChar w:fldCharType="end"/>
        </w:r>
      </w:hyperlink>
    </w:p>
    <w:p w14:paraId="471D72B3" w14:textId="77777777" w:rsidR="00E92E95" w:rsidRDefault="00971C09">
      <w:pPr>
        <w:pStyle w:val="TM1"/>
        <w:rPr>
          <w:rFonts w:asciiTheme="minorHAnsi" w:eastAsiaTheme="minorEastAsia" w:hAnsiTheme="minorHAnsi" w:cstheme="minorBidi"/>
          <w:noProof/>
          <w:sz w:val="22"/>
          <w:szCs w:val="22"/>
        </w:rPr>
      </w:pPr>
      <w:hyperlink w:anchor="_Toc93667908" w:history="1">
        <w:r w:rsidR="00E92E95" w:rsidRPr="00171022">
          <w:rPr>
            <w:rStyle w:val="Lienhypertexte"/>
            <w:noProof/>
            <w:lang w:val="it-CH"/>
          </w:rPr>
          <w:t>BR 18 Zivildienstverordnung / Ordonnance sur le service civil / Ordinanza sul servizio civile (824.01)</w:t>
        </w:r>
        <w:r w:rsidR="00E92E95">
          <w:rPr>
            <w:noProof/>
            <w:webHidden/>
          </w:rPr>
          <w:tab/>
        </w:r>
        <w:r w:rsidR="00E92E95">
          <w:rPr>
            <w:noProof/>
            <w:webHidden/>
          </w:rPr>
          <w:fldChar w:fldCharType="begin"/>
        </w:r>
        <w:r w:rsidR="00E92E95">
          <w:rPr>
            <w:noProof/>
            <w:webHidden/>
          </w:rPr>
          <w:instrText xml:space="preserve"> PAGEREF _Toc93667908 \h </w:instrText>
        </w:r>
        <w:r w:rsidR="00E92E95">
          <w:rPr>
            <w:noProof/>
            <w:webHidden/>
          </w:rPr>
        </w:r>
        <w:r w:rsidR="00E92E95">
          <w:rPr>
            <w:noProof/>
            <w:webHidden/>
          </w:rPr>
          <w:fldChar w:fldCharType="separate"/>
        </w:r>
        <w:r w:rsidR="00781CE9">
          <w:rPr>
            <w:noProof/>
            <w:webHidden/>
          </w:rPr>
          <w:t>28</w:t>
        </w:r>
        <w:r w:rsidR="00E92E95">
          <w:rPr>
            <w:noProof/>
            <w:webHidden/>
          </w:rPr>
          <w:fldChar w:fldCharType="end"/>
        </w:r>
      </w:hyperlink>
    </w:p>
    <w:p w14:paraId="4FC622DB" w14:textId="77777777" w:rsidR="00E92E95" w:rsidRDefault="00971C09">
      <w:pPr>
        <w:pStyle w:val="TM1"/>
        <w:rPr>
          <w:rFonts w:asciiTheme="minorHAnsi" w:eastAsiaTheme="minorEastAsia" w:hAnsiTheme="minorHAnsi" w:cstheme="minorBidi"/>
          <w:noProof/>
          <w:sz w:val="22"/>
          <w:szCs w:val="22"/>
        </w:rPr>
      </w:pPr>
      <w:hyperlink w:anchor="_Toc93667909" w:history="1">
        <w:r w:rsidR="00E92E95" w:rsidRPr="00171022">
          <w:rPr>
            <w:rStyle w:val="Lienhypertexte"/>
            <w:noProof/>
          </w:rPr>
          <w:t>WBF 01 Verordnung des WBF über die biologische Landwirtschaft / Ordonnance du DEFR sur l'agriculture biologique / Ordinanza del DEFR sull'agricoltura biologica (910.181)</w:t>
        </w:r>
        <w:r w:rsidR="00E92E95">
          <w:rPr>
            <w:noProof/>
            <w:webHidden/>
          </w:rPr>
          <w:tab/>
        </w:r>
        <w:r w:rsidR="00E92E95">
          <w:rPr>
            <w:noProof/>
            <w:webHidden/>
          </w:rPr>
          <w:fldChar w:fldCharType="begin"/>
        </w:r>
        <w:r w:rsidR="00E92E95">
          <w:rPr>
            <w:noProof/>
            <w:webHidden/>
          </w:rPr>
          <w:instrText xml:space="preserve"> PAGEREF _Toc93667909 \h </w:instrText>
        </w:r>
        <w:r w:rsidR="00E92E95">
          <w:rPr>
            <w:noProof/>
            <w:webHidden/>
          </w:rPr>
        </w:r>
        <w:r w:rsidR="00E92E95">
          <w:rPr>
            <w:noProof/>
            <w:webHidden/>
          </w:rPr>
          <w:fldChar w:fldCharType="separate"/>
        </w:r>
        <w:r w:rsidR="00781CE9">
          <w:rPr>
            <w:noProof/>
            <w:webHidden/>
          </w:rPr>
          <w:t>29</w:t>
        </w:r>
        <w:r w:rsidR="00E92E95">
          <w:rPr>
            <w:noProof/>
            <w:webHidden/>
          </w:rPr>
          <w:fldChar w:fldCharType="end"/>
        </w:r>
      </w:hyperlink>
    </w:p>
    <w:p w14:paraId="7F33FFA0" w14:textId="77777777" w:rsidR="00E92E95" w:rsidRDefault="00971C09">
      <w:pPr>
        <w:pStyle w:val="TM1"/>
        <w:rPr>
          <w:rFonts w:asciiTheme="minorHAnsi" w:eastAsiaTheme="minorEastAsia" w:hAnsiTheme="minorHAnsi" w:cstheme="minorBidi"/>
          <w:noProof/>
          <w:sz w:val="22"/>
          <w:szCs w:val="22"/>
        </w:rPr>
      </w:pPr>
      <w:hyperlink w:anchor="_Toc93667910" w:history="1">
        <w:r w:rsidR="00E92E95" w:rsidRPr="00171022">
          <w:rPr>
            <w:rStyle w:val="Lienhypertexte"/>
            <w:noProof/>
          </w:rPr>
          <w:t>WBF 02 Verordnung des WBF über die Hygiene bei der Primärproduktion / Ordonnance du DEFR concernant l’hygiène dans la production primaire / Ordinanza del DEFR concernente l’igiene nella produzione primaria (916.020.1)</w:t>
        </w:r>
        <w:r w:rsidR="00E92E95">
          <w:rPr>
            <w:noProof/>
            <w:webHidden/>
          </w:rPr>
          <w:tab/>
        </w:r>
        <w:r w:rsidR="00E92E95">
          <w:rPr>
            <w:noProof/>
            <w:webHidden/>
          </w:rPr>
          <w:fldChar w:fldCharType="begin"/>
        </w:r>
        <w:r w:rsidR="00E92E95">
          <w:rPr>
            <w:noProof/>
            <w:webHidden/>
          </w:rPr>
          <w:instrText xml:space="preserve"> PAGEREF _Toc93667910 \h </w:instrText>
        </w:r>
        <w:r w:rsidR="00E92E95">
          <w:rPr>
            <w:noProof/>
            <w:webHidden/>
          </w:rPr>
        </w:r>
        <w:r w:rsidR="00E92E95">
          <w:rPr>
            <w:noProof/>
            <w:webHidden/>
          </w:rPr>
          <w:fldChar w:fldCharType="separate"/>
        </w:r>
        <w:r w:rsidR="00781CE9">
          <w:rPr>
            <w:noProof/>
            <w:webHidden/>
          </w:rPr>
          <w:t>30</w:t>
        </w:r>
        <w:r w:rsidR="00E92E95">
          <w:rPr>
            <w:noProof/>
            <w:webHidden/>
          </w:rPr>
          <w:fldChar w:fldCharType="end"/>
        </w:r>
      </w:hyperlink>
    </w:p>
    <w:p w14:paraId="08E295B0" w14:textId="77777777" w:rsidR="00E92E95" w:rsidRDefault="00971C09">
      <w:pPr>
        <w:pStyle w:val="TM1"/>
        <w:rPr>
          <w:rFonts w:asciiTheme="minorHAnsi" w:eastAsiaTheme="minorEastAsia" w:hAnsiTheme="minorHAnsi" w:cstheme="minorBidi"/>
          <w:noProof/>
          <w:sz w:val="22"/>
          <w:szCs w:val="22"/>
        </w:rPr>
      </w:pPr>
      <w:hyperlink w:anchor="_Toc93667911" w:history="1">
        <w:r w:rsidR="00E92E95" w:rsidRPr="00171022">
          <w:rPr>
            <w:rStyle w:val="Lienhypertexte"/>
            <w:noProof/>
          </w:rPr>
          <w:t>WBF 03 Verordnung des WBF über den zivilen Ersatzdienst / Ordonnance du DEFR sur le service civil de remplacement / Ordinanza del DEFR sul servizio civile (824.012.2)</w:t>
        </w:r>
        <w:r w:rsidR="00E92E95">
          <w:rPr>
            <w:noProof/>
            <w:webHidden/>
          </w:rPr>
          <w:tab/>
        </w:r>
        <w:r w:rsidR="00E92E95">
          <w:rPr>
            <w:noProof/>
            <w:webHidden/>
          </w:rPr>
          <w:fldChar w:fldCharType="begin"/>
        </w:r>
        <w:r w:rsidR="00E92E95">
          <w:rPr>
            <w:noProof/>
            <w:webHidden/>
          </w:rPr>
          <w:instrText xml:space="preserve"> PAGEREF _Toc93667911 \h </w:instrText>
        </w:r>
        <w:r w:rsidR="00E92E95">
          <w:rPr>
            <w:noProof/>
            <w:webHidden/>
          </w:rPr>
        </w:r>
        <w:r w:rsidR="00E92E95">
          <w:rPr>
            <w:noProof/>
            <w:webHidden/>
          </w:rPr>
          <w:fldChar w:fldCharType="separate"/>
        </w:r>
        <w:r w:rsidR="00781CE9">
          <w:rPr>
            <w:noProof/>
            <w:webHidden/>
          </w:rPr>
          <w:t>31</w:t>
        </w:r>
        <w:r w:rsidR="00E92E95">
          <w:rPr>
            <w:noProof/>
            <w:webHidden/>
          </w:rPr>
          <w:fldChar w:fldCharType="end"/>
        </w:r>
      </w:hyperlink>
    </w:p>
    <w:p w14:paraId="77953E73" w14:textId="77777777" w:rsidR="00E92E95" w:rsidRDefault="00971C09">
      <w:pPr>
        <w:pStyle w:val="TM1"/>
        <w:rPr>
          <w:rFonts w:asciiTheme="minorHAnsi" w:eastAsiaTheme="minorEastAsia" w:hAnsiTheme="minorHAnsi" w:cstheme="minorBidi"/>
          <w:noProof/>
          <w:sz w:val="22"/>
          <w:szCs w:val="22"/>
        </w:rPr>
      </w:pPr>
      <w:hyperlink w:anchor="_Toc93667912" w:history="1">
        <w:r w:rsidR="00E92E95" w:rsidRPr="00171022">
          <w:rPr>
            <w:rStyle w:val="Lienhypertexte"/>
            <w:noProof/>
          </w:rPr>
          <w:t>BLW 01 Verordnung des BLW über Investitionshilfen und soziale Begleitmassnahmen in der Landwirtschaft / Ordonnance de l’OFAG sur les aides à l’investissement et les mesures d’accompagnement social dans l’agriculture / Ordinanza dell’UFAG concernente gli aiuti agli investimenti e le misure sociali collaterali nell’agricoltura (913.211)</w:t>
        </w:r>
        <w:r w:rsidR="00E92E95">
          <w:rPr>
            <w:noProof/>
            <w:webHidden/>
          </w:rPr>
          <w:tab/>
        </w:r>
        <w:r w:rsidR="00E92E95">
          <w:rPr>
            <w:noProof/>
            <w:webHidden/>
          </w:rPr>
          <w:fldChar w:fldCharType="begin"/>
        </w:r>
        <w:r w:rsidR="00E92E95">
          <w:rPr>
            <w:noProof/>
            <w:webHidden/>
          </w:rPr>
          <w:instrText xml:space="preserve"> PAGEREF _Toc93667912 \h </w:instrText>
        </w:r>
        <w:r w:rsidR="00E92E95">
          <w:rPr>
            <w:noProof/>
            <w:webHidden/>
          </w:rPr>
        </w:r>
        <w:r w:rsidR="00E92E95">
          <w:rPr>
            <w:noProof/>
            <w:webHidden/>
          </w:rPr>
          <w:fldChar w:fldCharType="separate"/>
        </w:r>
        <w:r w:rsidR="00781CE9">
          <w:rPr>
            <w:noProof/>
            <w:webHidden/>
          </w:rPr>
          <w:t>32</w:t>
        </w:r>
        <w:r w:rsidR="00E92E95">
          <w:rPr>
            <w:noProof/>
            <w:webHidden/>
          </w:rPr>
          <w:fldChar w:fldCharType="end"/>
        </w:r>
      </w:hyperlink>
    </w:p>
    <w:p w14:paraId="3389C6DA" w14:textId="77777777" w:rsidR="00B33F4A" w:rsidRDefault="00B67434" w:rsidP="003510EA">
      <w:pPr>
        <w:pStyle w:val="TM1"/>
        <w:spacing w:before="40" w:after="40" w:line="240" w:lineRule="auto"/>
        <w:rPr>
          <w:lang w:val="it-CH"/>
        </w:rPr>
      </w:pPr>
      <w:r>
        <w:rPr>
          <w:bCs/>
          <w:lang w:val="de-DE"/>
        </w:rPr>
        <w:lastRenderedPageBreak/>
        <w:fldChar w:fldCharType="end"/>
      </w:r>
      <w:bookmarkStart w:id="0" w:name="_Ref352161886"/>
      <w:bookmarkStart w:id="1" w:name="_Toc93667890"/>
      <w:r>
        <w:rPr>
          <w:lang w:val="it-CH"/>
        </w:rPr>
        <w:t>Allgemeine Bemerkungen / Remarques générales / Osservazioni generali</w:t>
      </w:r>
      <w:bookmarkEnd w:id="0"/>
      <w:bookmarkEnd w:id="1"/>
      <w:r>
        <w:rPr>
          <w:lang w:val="it-CH"/>
        </w:rPr>
        <w:t xml:space="preserve"> </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gridCol w:w="558"/>
      </w:tblGrid>
      <w:tr w:rsidR="00B33F4A" w:rsidRPr="00637BC5" w14:paraId="73AB7AAE" w14:textId="77777777">
        <w:trPr>
          <w:trHeight w:val="8855"/>
        </w:trPr>
        <w:tc>
          <w:tcPr>
            <w:tcW w:w="14014" w:type="dxa"/>
          </w:tcPr>
          <w:p w14:paraId="61EDE976" w14:textId="399954B2" w:rsidR="00B33F4A" w:rsidRDefault="00637BC5">
            <w:r w:rsidRPr="00637BC5">
              <w:t>AGORA vous remercie de l’avoir consultée dans le cadre du train d’ordonnances 2022</w:t>
            </w:r>
            <w:r>
              <w:t>. Nous nous permettons un certains nombres de remarques qui seront reprises dans les différentes ordonnances mais dont voici le résumé :</w:t>
            </w:r>
          </w:p>
          <w:p w14:paraId="002E367D" w14:textId="77777777" w:rsidR="00637BC5" w:rsidRDefault="00637BC5" w:rsidP="00637BC5">
            <w:pPr>
              <w:pStyle w:val="Paragraphedeliste"/>
              <w:numPr>
                <w:ilvl w:val="0"/>
                <w:numId w:val="28"/>
              </w:numPr>
            </w:pPr>
            <w:r>
              <w:t>Paiements directs :</w:t>
            </w:r>
          </w:p>
          <w:p w14:paraId="07ED0971" w14:textId="450B6FD7" w:rsidR="00637BC5" w:rsidRDefault="00637BC5" w:rsidP="00637BC5">
            <w:pPr>
              <w:pStyle w:val="Paragraphedeliste"/>
              <w:numPr>
                <w:ilvl w:val="1"/>
                <w:numId w:val="28"/>
              </w:numPr>
            </w:pPr>
            <w:r>
              <w:t>Nous soutenons les différentes mesures proposées en lien avec la présence des grands prédateurs mais insistons pour que celles-ci ne soient pas limitées aux moutons mais concernent également les chèvres et les bovins.</w:t>
            </w:r>
          </w:p>
          <w:p w14:paraId="62CE6B89" w14:textId="30C3D62C" w:rsidR="00637BC5" w:rsidRDefault="00637BC5" w:rsidP="00637BC5">
            <w:pPr>
              <w:pStyle w:val="Paragraphedeliste"/>
              <w:numPr>
                <w:ilvl w:val="1"/>
                <w:numId w:val="28"/>
              </w:numPr>
            </w:pPr>
            <w:r>
              <w:t>La classification des vignes en pente doit être revue pour correspondre à la pratique.</w:t>
            </w:r>
          </w:p>
          <w:p w14:paraId="1CDB9179" w14:textId="77777777" w:rsidR="00637BC5" w:rsidRDefault="00637BC5" w:rsidP="00637BC5">
            <w:pPr>
              <w:pStyle w:val="Paragraphedeliste"/>
              <w:numPr>
                <w:ilvl w:val="0"/>
                <w:numId w:val="28"/>
              </w:numPr>
            </w:pPr>
            <w:r>
              <w:t>Contributions à des cultures particulières :</w:t>
            </w:r>
          </w:p>
          <w:p w14:paraId="2E68947E" w14:textId="76EBE024" w:rsidR="00637BC5" w:rsidRDefault="00637BC5" w:rsidP="00637BC5">
            <w:pPr>
              <w:pStyle w:val="Paragraphedeliste"/>
              <w:numPr>
                <w:ilvl w:val="1"/>
                <w:numId w:val="28"/>
              </w:numPr>
            </w:pPr>
            <w:r>
              <w:t xml:space="preserve">Ces contributions doivent être élargies à </w:t>
            </w:r>
            <w:r w:rsidR="00C82634">
              <w:t xml:space="preserve">d’autres </w:t>
            </w:r>
            <w:r>
              <w:t>cultures de niche.</w:t>
            </w:r>
          </w:p>
          <w:p w14:paraId="3A4998AD" w14:textId="506E0048" w:rsidR="00637BC5" w:rsidRDefault="00637BC5" w:rsidP="00637BC5">
            <w:pPr>
              <w:pStyle w:val="Paragraphedeliste"/>
              <w:numPr>
                <w:ilvl w:val="1"/>
                <w:numId w:val="28"/>
              </w:numPr>
            </w:pPr>
            <w:r>
              <w:t>La contribution pour</w:t>
            </w:r>
            <w:r w:rsidR="00C82634">
              <w:t xml:space="preserve"> la production de</w:t>
            </w:r>
            <w:r>
              <w:t xml:space="preserve"> plants et semences doit augmenter afin de tenir compte du contexte actuel.</w:t>
            </w:r>
          </w:p>
          <w:p w14:paraId="15AA4F53" w14:textId="77777777" w:rsidR="00637BC5" w:rsidRDefault="00637BC5" w:rsidP="00637BC5">
            <w:pPr>
              <w:pStyle w:val="Paragraphedeliste"/>
              <w:numPr>
                <w:ilvl w:val="0"/>
                <w:numId w:val="28"/>
              </w:numPr>
            </w:pPr>
            <w:r>
              <w:t>Coordination des contrôles :</w:t>
            </w:r>
          </w:p>
          <w:p w14:paraId="41B1EBC2" w14:textId="270DB9CD" w:rsidR="00637BC5" w:rsidRDefault="00C82634" w:rsidP="00637BC5">
            <w:pPr>
              <w:pStyle w:val="Paragraphedeliste"/>
              <w:numPr>
                <w:ilvl w:val="1"/>
                <w:numId w:val="28"/>
              </w:numPr>
            </w:pPr>
            <w:r>
              <w:t>Avoir</w:t>
            </w:r>
            <w:r w:rsidR="00637BC5">
              <w:t xml:space="preserve"> fréquence différente pour les contrôles liés à l’ordonnance sur la protection des eaux et aux autres ordonnances</w:t>
            </w:r>
            <w:r>
              <w:t xml:space="preserve"> ne se justifie pas</w:t>
            </w:r>
            <w:r w:rsidR="00637BC5">
              <w:t>. Ceci va à l’encontre de l’objectif même de l’ordonnance.</w:t>
            </w:r>
          </w:p>
          <w:p w14:paraId="4481B0E7" w14:textId="77777777" w:rsidR="00637BC5" w:rsidRDefault="00483D0C" w:rsidP="00637BC5">
            <w:pPr>
              <w:pStyle w:val="Paragraphedeliste"/>
              <w:numPr>
                <w:ilvl w:val="0"/>
                <w:numId w:val="28"/>
              </w:numPr>
            </w:pPr>
            <w:r>
              <w:t>Vin :</w:t>
            </w:r>
          </w:p>
          <w:p w14:paraId="3E6C69B5" w14:textId="23D0F2D7" w:rsidR="00483D0C" w:rsidRDefault="00483D0C" w:rsidP="00483D0C">
            <w:pPr>
              <w:pStyle w:val="Paragraphedeliste"/>
              <w:numPr>
                <w:ilvl w:val="1"/>
                <w:numId w:val="28"/>
              </w:numPr>
            </w:pPr>
            <w:r>
              <w:t xml:space="preserve">La correspondance </w:t>
            </w:r>
            <w:proofErr w:type="spellStart"/>
            <w:r>
              <w:t>Brix</w:t>
            </w:r>
            <w:proofErr w:type="spellEnd"/>
            <w:r>
              <w:t xml:space="preserve"> – </w:t>
            </w:r>
            <w:proofErr w:type="spellStart"/>
            <w:r>
              <w:t>Oechslé</w:t>
            </w:r>
            <w:proofErr w:type="spellEnd"/>
            <w:r>
              <w:t xml:space="preserve"> est à ajouter dans l’ordonnance.</w:t>
            </w:r>
          </w:p>
          <w:p w14:paraId="2200E970" w14:textId="200735D4" w:rsidR="00483D0C" w:rsidRDefault="00483D0C" w:rsidP="00483D0C">
            <w:pPr>
              <w:pStyle w:val="Paragraphedeliste"/>
              <w:numPr>
                <w:ilvl w:val="1"/>
                <w:numId w:val="28"/>
              </w:numPr>
            </w:pPr>
            <w:r>
              <w:t>Le délai de carence de 10 ans après l’arrachage n’amène rien en termes de qualité et est à supprimer.</w:t>
            </w:r>
          </w:p>
          <w:p w14:paraId="14C8C9EB" w14:textId="549DB9AC" w:rsidR="00483D0C" w:rsidRDefault="00483D0C" w:rsidP="00483D0C">
            <w:pPr>
              <w:pStyle w:val="Paragraphedeliste"/>
              <w:numPr>
                <w:ilvl w:val="1"/>
                <w:numId w:val="28"/>
              </w:numPr>
            </w:pPr>
            <w:r>
              <w:t xml:space="preserve">Une base légale </w:t>
            </w:r>
            <w:r w:rsidR="00C82634">
              <w:t>pour la création d’</w:t>
            </w:r>
            <w:r>
              <w:t>une réserve climatique cantonale doit être introduite.</w:t>
            </w:r>
          </w:p>
          <w:p w14:paraId="3C096B16" w14:textId="41E8F146" w:rsidR="00483D0C" w:rsidRDefault="00483D0C" w:rsidP="00483D0C">
            <w:pPr>
              <w:pStyle w:val="Paragraphedeliste"/>
              <w:numPr>
                <w:ilvl w:val="1"/>
                <w:numId w:val="28"/>
              </w:numPr>
            </w:pPr>
            <w:r>
              <w:t xml:space="preserve">Une marge de manœuvre en </w:t>
            </w:r>
            <w:r w:rsidR="00C82634">
              <w:t xml:space="preserve">matière </w:t>
            </w:r>
            <w:r>
              <w:t>de raisins de table est nécessaire.</w:t>
            </w:r>
          </w:p>
          <w:p w14:paraId="15F29544" w14:textId="77777777" w:rsidR="00483D0C" w:rsidRDefault="00483D0C" w:rsidP="00637BC5">
            <w:pPr>
              <w:pStyle w:val="Paragraphedeliste"/>
              <w:numPr>
                <w:ilvl w:val="0"/>
                <w:numId w:val="28"/>
              </w:numPr>
            </w:pPr>
            <w:r>
              <w:t>Elevage :</w:t>
            </w:r>
          </w:p>
          <w:p w14:paraId="16550748" w14:textId="787A095B" w:rsidR="00483D0C" w:rsidRDefault="00483D0C" w:rsidP="00483D0C">
            <w:pPr>
              <w:pStyle w:val="Paragraphedeliste"/>
              <w:numPr>
                <w:ilvl w:val="1"/>
                <w:numId w:val="28"/>
              </w:numPr>
            </w:pPr>
            <w:r>
              <w:t>Le statut de protection actuel de la race Franches-montagnes ne doit pas être affaibli.</w:t>
            </w:r>
          </w:p>
          <w:p w14:paraId="74C29292" w14:textId="77777777" w:rsidR="00483D0C" w:rsidRDefault="00483D0C" w:rsidP="00637BC5">
            <w:pPr>
              <w:pStyle w:val="Paragraphedeliste"/>
              <w:numPr>
                <w:ilvl w:val="0"/>
                <w:numId w:val="28"/>
              </w:numPr>
            </w:pPr>
            <w:r>
              <w:t>Soutien au prix du lait :</w:t>
            </w:r>
          </w:p>
          <w:p w14:paraId="677DDB94" w14:textId="3F8DC484" w:rsidR="00483D0C" w:rsidRDefault="00483D0C" w:rsidP="00483D0C">
            <w:pPr>
              <w:pStyle w:val="Paragraphedeliste"/>
              <w:numPr>
                <w:ilvl w:val="1"/>
                <w:numId w:val="28"/>
              </w:numPr>
            </w:pPr>
            <w:r>
              <w:t>Le montant des suppléments laitiers doit rester mentionné dans l’ordonnance.</w:t>
            </w:r>
          </w:p>
          <w:p w14:paraId="3BD01A9A" w14:textId="6FA79B42" w:rsidR="00483D0C" w:rsidRDefault="00C82634" w:rsidP="00483D0C">
            <w:pPr>
              <w:pStyle w:val="Paragraphedeliste"/>
              <w:numPr>
                <w:ilvl w:val="1"/>
                <w:numId w:val="28"/>
              </w:numPr>
            </w:pPr>
            <w:r>
              <w:t>Nous appuyons l</w:t>
            </w:r>
            <w:r w:rsidR="00483D0C">
              <w:t>e compromis proposé par PSL en matière de versement du soutien</w:t>
            </w:r>
            <w:bookmarkStart w:id="2" w:name="_GoBack"/>
            <w:bookmarkEnd w:id="2"/>
            <w:r w:rsidR="00483D0C">
              <w:t>.</w:t>
            </w:r>
          </w:p>
          <w:p w14:paraId="18841747" w14:textId="77777777" w:rsidR="00483D0C" w:rsidRDefault="00483D0C" w:rsidP="00637BC5">
            <w:pPr>
              <w:pStyle w:val="Paragraphedeliste"/>
              <w:numPr>
                <w:ilvl w:val="0"/>
                <w:numId w:val="28"/>
              </w:numPr>
            </w:pPr>
            <w:proofErr w:type="spellStart"/>
            <w:r>
              <w:t>Identitas</w:t>
            </w:r>
            <w:proofErr w:type="spellEnd"/>
            <w:r>
              <w:t> :</w:t>
            </w:r>
          </w:p>
          <w:p w14:paraId="1E7DBFC2" w14:textId="1AC8AE4D" w:rsidR="00483D0C" w:rsidRDefault="00483D0C" w:rsidP="00483D0C">
            <w:pPr>
              <w:pStyle w:val="Paragraphedeliste"/>
              <w:numPr>
                <w:ilvl w:val="1"/>
                <w:numId w:val="28"/>
              </w:numPr>
            </w:pPr>
            <w:r>
              <w:t>La hausse des tarifs de 50% est totalement exagérée.</w:t>
            </w:r>
          </w:p>
          <w:p w14:paraId="5C0E3756" w14:textId="77777777" w:rsidR="00483D0C" w:rsidRDefault="00483D0C" w:rsidP="00637BC5">
            <w:pPr>
              <w:pStyle w:val="Paragraphedeliste"/>
              <w:numPr>
                <w:ilvl w:val="0"/>
                <w:numId w:val="28"/>
              </w:numPr>
            </w:pPr>
            <w:r>
              <w:t>Importations agricoles :</w:t>
            </w:r>
          </w:p>
          <w:p w14:paraId="479E6373" w14:textId="632D5851" w:rsidR="00483D0C" w:rsidRPr="00637BC5" w:rsidRDefault="00483D0C" w:rsidP="00483D0C">
            <w:pPr>
              <w:pStyle w:val="Paragraphedeliste"/>
              <w:numPr>
                <w:ilvl w:val="1"/>
                <w:numId w:val="28"/>
              </w:numPr>
            </w:pPr>
            <w:r>
              <w:t>La protection à la frontière de certaines production doit être adaptée à la hausse au vu du contexte actuel et ceci dès la récolte 2022.</w:t>
            </w:r>
          </w:p>
        </w:tc>
        <w:tc>
          <w:tcPr>
            <w:tcW w:w="558" w:type="dxa"/>
            <w:tcBorders>
              <w:top w:val="nil"/>
              <w:bottom w:val="nil"/>
              <w:right w:val="nil"/>
            </w:tcBorders>
            <w:shd w:val="clear" w:color="auto" w:fill="FFFFFF"/>
          </w:tcPr>
          <w:p w14:paraId="225A0CD8" w14:textId="77777777" w:rsidR="00B33F4A" w:rsidRPr="00637BC5" w:rsidRDefault="00B33F4A">
            <w:pPr>
              <w:rPr>
                <w:b/>
              </w:rPr>
            </w:pPr>
          </w:p>
        </w:tc>
      </w:tr>
    </w:tbl>
    <w:p w14:paraId="148E589A" w14:textId="77777777" w:rsidR="00B33F4A" w:rsidRDefault="00B33F4A">
      <w:pPr>
        <w:rPr>
          <w:lang w:val="en-US"/>
        </w:rPr>
      </w:pPr>
    </w:p>
    <w:p w14:paraId="33E9DB4C" w14:textId="77777777" w:rsidR="00B33F4A" w:rsidRPr="008B5D61" w:rsidRDefault="00B67434">
      <w:pPr>
        <w:pStyle w:val="Titre1"/>
      </w:pPr>
      <w:bookmarkStart w:id="3" w:name="_Toc93667891"/>
      <w:r w:rsidRPr="008B5D61">
        <w:lastRenderedPageBreak/>
        <w:t xml:space="preserve">BR 01 </w:t>
      </w:r>
      <w:proofErr w:type="spellStart"/>
      <w:r w:rsidR="00522AB9" w:rsidRPr="008B5D61">
        <w:t>Verordnung</w:t>
      </w:r>
      <w:proofErr w:type="spellEnd"/>
      <w:r w:rsidR="00522AB9" w:rsidRPr="008B5D61">
        <w:t xml:space="preserve"> </w:t>
      </w:r>
      <w:proofErr w:type="spellStart"/>
      <w:r w:rsidR="00522AB9" w:rsidRPr="008B5D61">
        <w:t>über</w:t>
      </w:r>
      <w:proofErr w:type="spellEnd"/>
      <w:r w:rsidR="00522AB9" w:rsidRPr="008B5D61">
        <w:t xml:space="preserve"> </w:t>
      </w:r>
      <w:proofErr w:type="spellStart"/>
      <w:r w:rsidR="00522AB9" w:rsidRPr="008B5D61">
        <w:t>das</w:t>
      </w:r>
      <w:proofErr w:type="spellEnd"/>
      <w:r w:rsidR="00522AB9" w:rsidRPr="008B5D61">
        <w:t xml:space="preserve"> </w:t>
      </w:r>
      <w:proofErr w:type="spellStart"/>
      <w:r w:rsidR="00522AB9" w:rsidRPr="008B5D61">
        <w:t>bäuerliche</w:t>
      </w:r>
      <w:proofErr w:type="spellEnd"/>
      <w:r w:rsidR="00522AB9" w:rsidRPr="008B5D61">
        <w:t xml:space="preserve"> </w:t>
      </w:r>
      <w:proofErr w:type="spellStart"/>
      <w:r w:rsidR="00522AB9" w:rsidRPr="008B5D61">
        <w:t>Bodenrecht</w:t>
      </w:r>
      <w:proofErr w:type="spellEnd"/>
      <w:r w:rsidRPr="008B5D61">
        <w:t xml:space="preserve"> / </w:t>
      </w:r>
      <w:r w:rsidR="008B5D61" w:rsidRPr="008B5D61">
        <w:t>Ordonnance sur le droit foncier rural</w:t>
      </w:r>
      <w:r w:rsidRPr="008B5D61">
        <w:t xml:space="preserve"> / </w:t>
      </w:r>
      <w:r w:rsidR="002D15EF" w:rsidRPr="003D7B41">
        <w:rPr>
          <w:lang w:val="it-IT"/>
        </w:rPr>
        <w:t>Ordinanza sul diritto fondiario rurale</w:t>
      </w:r>
      <w:r w:rsidRPr="008B5D61">
        <w:t xml:space="preserve"> (</w:t>
      </w:r>
      <w:r w:rsidR="002D15EF">
        <w:t>211.412.110</w:t>
      </w:r>
      <w:r w:rsidRPr="008B5D61">
        <w:t>)</w:t>
      </w:r>
      <w:bookmarkEnd w:id="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1832E424" w14:textId="77777777">
        <w:trPr>
          <w:tblHeader/>
        </w:trPr>
        <w:tc>
          <w:tcPr>
            <w:tcW w:w="14092" w:type="dxa"/>
            <w:tcBorders>
              <w:top w:val="single" w:sz="4" w:space="0" w:color="auto"/>
              <w:left w:val="single" w:sz="4" w:space="0" w:color="auto"/>
              <w:bottom w:val="nil"/>
              <w:right w:val="single" w:sz="4" w:space="0" w:color="auto"/>
            </w:tcBorders>
          </w:tcPr>
          <w:p w14:paraId="2D8EB3CC"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569473FF" w14:textId="77777777" w:rsidR="00B33F4A" w:rsidRDefault="00B33F4A">
            <w:pPr>
              <w:pStyle w:val="Betreff"/>
              <w:widowControl/>
              <w:spacing w:before="0" w:after="0" w:line="240" w:lineRule="auto"/>
            </w:pPr>
          </w:p>
        </w:tc>
      </w:tr>
      <w:tr w:rsidR="00B33F4A" w:rsidRPr="003F5D0C" w14:paraId="0671B367" w14:textId="77777777" w:rsidTr="00BD7228">
        <w:trPr>
          <w:cantSplit/>
          <w:trHeight w:val="832"/>
          <w:tblHeader/>
        </w:trPr>
        <w:tc>
          <w:tcPr>
            <w:tcW w:w="14092" w:type="dxa"/>
            <w:tcBorders>
              <w:top w:val="nil"/>
              <w:left w:val="single" w:sz="4" w:space="0" w:color="auto"/>
              <w:bottom w:val="single" w:sz="4" w:space="0" w:color="auto"/>
              <w:right w:val="single" w:sz="4" w:space="0" w:color="auto"/>
            </w:tcBorders>
          </w:tcPr>
          <w:p w14:paraId="7366FF22" w14:textId="77777777" w:rsidR="00B33F4A" w:rsidRPr="00BD7228" w:rsidRDefault="00BD7228">
            <w:r w:rsidRPr="00BD7228">
              <w:t xml:space="preserve">AGORA refuse la modification proposée de l’art. </w:t>
            </w:r>
            <w:r>
              <w:t>4a, al. 1.</w:t>
            </w:r>
          </w:p>
        </w:tc>
        <w:tc>
          <w:tcPr>
            <w:tcW w:w="532" w:type="dxa"/>
            <w:tcBorders>
              <w:top w:val="nil"/>
              <w:left w:val="single" w:sz="4" w:space="0" w:color="auto"/>
              <w:bottom w:val="nil"/>
              <w:right w:val="nil"/>
            </w:tcBorders>
            <w:shd w:val="clear" w:color="auto" w:fill="auto"/>
          </w:tcPr>
          <w:p w14:paraId="5156B52F" w14:textId="77777777" w:rsidR="00B33F4A" w:rsidRPr="00BD7228" w:rsidRDefault="00B33F4A">
            <w:pPr>
              <w:rPr>
                <w:b/>
              </w:rPr>
            </w:pPr>
          </w:p>
        </w:tc>
      </w:tr>
    </w:tbl>
    <w:p w14:paraId="52FC3C66" w14:textId="77777777" w:rsidR="00B33F4A" w:rsidRPr="00BD7228"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58E377E6" w14:textId="77777777">
        <w:trPr>
          <w:tblHeader/>
        </w:trPr>
        <w:tc>
          <w:tcPr>
            <w:tcW w:w="2943" w:type="dxa"/>
          </w:tcPr>
          <w:p w14:paraId="31A607EC"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498AADAB" w14:textId="77777777" w:rsidR="00B33F4A" w:rsidRPr="00BD7228" w:rsidRDefault="00B67434">
            <w:pPr>
              <w:spacing w:after="0"/>
              <w:rPr>
                <w:b/>
              </w:rPr>
            </w:pPr>
            <w:proofErr w:type="spellStart"/>
            <w:r w:rsidRPr="00BD7228">
              <w:rPr>
                <w:b/>
              </w:rPr>
              <w:t>Antrag</w:t>
            </w:r>
            <w:proofErr w:type="spellEnd"/>
            <w:r w:rsidRPr="00BD7228">
              <w:rPr>
                <w:b/>
              </w:rPr>
              <w:br/>
              <w:t>Proposition</w:t>
            </w:r>
            <w:r w:rsidRPr="00BD7228">
              <w:rPr>
                <w:b/>
              </w:rPr>
              <w:br/>
            </w:r>
            <w:proofErr w:type="spellStart"/>
            <w:r w:rsidRPr="00BD7228">
              <w:rPr>
                <w:b/>
              </w:rPr>
              <w:t>Richiesta</w:t>
            </w:r>
            <w:proofErr w:type="spellEnd"/>
          </w:p>
        </w:tc>
        <w:tc>
          <w:tcPr>
            <w:tcW w:w="5620" w:type="dxa"/>
          </w:tcPr>
          <w:p w14:paraId="68355727"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615D71CC" w14:textId="77777777" w:rsidR="00B33F4A" w:rsidRPr="007132B1" w:rsidRDefault="00B33F4A">
            <w:pPr>
              <w:widowControl/>
              <w:spacing w:after="0" w:line="240" w:lineRule="auto"/>
              <w:rPr>
                <w:b/>
                <w:lang w:val="de-CH"/>
              </w:rPr>
            </w:pPr>
          </w:p>
        </w:tc>
      </w:tr>
      <w:tr w:rsidR="00B33F4A" w:rsidRPr="003F5D0C" w14:paraId="32B23C6A" w14:textId="77777777">
        <w:tc>
          <w:tcPr>
            <w:tcW w:w="2943" w:type="dxa"/>
          </w:tcPr>
          <w:p w14:paraId="297B95C3" w14:textId="77777777" w:rsidR="00B33F4A" w:rsidRPr="006157A9" w:rsidRDefault="009474BF">
            <w:pPr>
              <w:pStyle w:val="Anhang"/>
              <w:tabs>
                <w:tab w:val="clear" w:pos="1276"/>
              </w:tabs>
              <w:spacing w:before="0" w:after="260"/>
              <w:outlineLvl w:val="9"/>
              <w:rPr>
                <w:lang w:val="de-CH" w:eastAsia="de-CH"/>
              </w:rPr>
            </w:pPr>
            <w:r>
              <w:rPr>
                <w:lang w:val="de-CH" w:eastAsia="de-CH"/>
              </w:rPr>
              <w:t>Art. 4a, al. 1</w:t>
            </w:r>
          </w:p>
        </w:tc>
        <w:tc>
          <w:tcPr>
            <w:tcW w:w="5529" w:type="dxa"/>
          </w:tcPr>
          <w:p w14:paraId="052D2034" w14:textId="77777777" w:rsidR="009474BF" w:rsidRPr="00BD7228" w:rsidRDefault="009474BF" w:rsidP="00BD7228">
            <w:pPr>
              <w:spacing w:after="0"/>
              <w:rPr>
                <w:strike/>
              </w:rPr>
            </w:pPr>
            <w:r w:rsidRPr="00BD7228">
              <w:rPr>
                <w:strike/>
              </w:rPr>
              <w:t>Lorsqu’une construction ou une installation se trouve sur un bien-fonds agricole et si ce bien-fonds est soumis au champ d’application de la LDFR, la procédure d’édiction des décisions suivantes est coordonnée avec l’autorité cantonale compétente en matière de construction hors de la zone à bâtir (art. 25, al. 2, LAT5</w:t>
            </w:r>
            <w:proofErr w:type="gramStart"/>
            <w:r w:rsidRPr="00BD7228">
              <w:rPr>
                <w:strike/>
              </w:rPr>
              <w:t>):</w:t>
            </w:r>
            <w:proofErr w:type="gramEnd"/>
          </w:p>
          <w:p w14:paraId="2F390D82" w14:textId="77777777" w:rsidR="009474BF" w:rsidRPr="00BD7228" w:rsidRDefault="009474BF" w:rsidP="009474BF">
            <w:pPr>
              <w:pStyle w:val="Paragraphedeliste"/>
              <w:numPr>
                <w:ilvl w:val="0"/>
                <w:numId w:val="25"/>
              </w:numPr>
              <w:rPr>
                <w:strike/>
              </w:rPr>
            </w:pPr>
            <w:r w:rsidRPr="00BD7228">
              <w:rPr>
                <w:strike/>
              </w:rPr>
              <w:t xml:space="preserve">décisions sur les dérogations à l’interdiction de partage matériel et de </w:t>
            </w:r>
            <w:proofErr w:type="gramStart"/>
            <w:r w:rsidRPr="00BD7228">
              <w:rPr>
                <w:strike/>
              </w:rPr>
              <w:t>morcellement;</w:t>
            </w:r>
            <w:proofErr w:type="gramEnd"/>
          </w:p>
          <w:p w14:paraId="3AC80AEB" w14:textId="77777777" w:rsidR="009474BF" w:rsidRPr="00BD7228" w:rsidRDefault="009474BF" w:rsidP="009474BF">
            <w:pPr>
              <w:pStyle w:val="Paragraphedeliste"/>
              <w:numPr>
                <w:ilvl w:val="0"/>
                <w:numId w:val="25"/>
              </w:numPr>
              <w:rPr>
                <w:strike/>
              </w:rPr>
            </w:pPr>
            <w:r w:rsidRPr="00BD7228">
              <w:rPr>
                <w:strike/>
              </w:rPr>
              <w:t>décisions relatives à l’exclusion de biens-fonds du champ d’application de la LDFR, et</w:t>
            </w:r>
          </w:p>
          <w:p w14:paraId="2757B948" w14:textId="77777777" w:rsidR="00B33F4A" w:rsidRPr="00BD7228" w:rsidRDefault="009474BF" w:rsidP="009474BF">
            <w:pPr>
              <w:pStyle w:val="Paragraphedeliste"/>
              <w:numPr>
                <w:ilvl w:val="0"/>
                <w:numId w:val="25"/>
              </w:numPr>
              <w:rPr>
                <w:strike/>
              </w:rPr>
            </w:pPr>
            <w:r w:rsidRPr="00BD7228">
              <w:rPr>
                <w:strike/>
              </w:rPr>
              <w:t>décisions en constatation relatives à la non-applicabilité de la LDFR.</w:t>
            </w:r>
          </w:p>
          <w:p w14:paraId="6B6BC5D0" w14:textId="0BA66B9B" w:rsidR="009474BF" w:rsidRPr="00BD7228" w:rsidRDefault="009474BF" w:rsidP="009474BF">
            <w:pPr>
              <w:rPr>
                <w:rFonts w:cs="Arial"/>
                <w:b/>
              </w:rPr>
            </w:pPr>
            <w:proofErr w:type="gramStart"/>
            <w:r w:rsidRPr="00BD7228">
              <w:rPr>
                <w:rFonts w:cs="Arial"/>
                <w:b/>
                <w:color w:val="454545"/>
                <w:shd w:val="clear" w:color="auto" w:fill="FFFFFF"/>
              </w:rPr>
              <w:t>Dans la procédure d’octroi d’une dérogation à l’interdiction de partage matériel ou de morcellement</w:t>
            </w:r>
            <w:r w:rsidR="001E652C">
              <w:rPr>
                <w:rFonts w:cs="Arial"/>
                <w:b/>
                <w:color w:val="454545"/>
                <w:shd w:val="clear" w:color="auto" w:fill="FFFFFF"/>
              </w:rPr>
              <w:t>,</w:t>
            </w:r>
            <w:r w:rsidRPr="00BD7228">
              <w:rPr>
                <w:rFonts w:cs="Arial"/>
                <w:b/>
                <w:color w:val="454545"/>
                <w:shd w:val="clear" w:color="auto" w:fill="FFFFFF"/>
              </w:rPr>
              <w:t xml:space="preserve"> de même que dans la procédure d’octroi d’une décision en constatation y relative ou de non-application de la LDFR, l’autorité compétente en matière d’autorisation au sens de cette loi transmet le dossier pour décision à l’autorité cantonale compétente en matière de construction hors de la zone à bâtir (art. 25, al. 2, LAT)</w:t>
            </w:r>
            <w:r w:rsidR="001E652C">
              <w:rPr>
                <w:rFonts w:cs="Arial"/>
                <w:b/>
                <w:color w:val="454545"/>
                <w:shd w:val="clear" w:color="auto" w:fill="FFFFFF"/>
              </w:rPr>
              <w:t>,</w:t>
            </w:r>
            <w:r w:rsidRPr="00BD7228">
              <w:rPr>
                <w:rFonts w:cs="Arial"/>
                <w:b/>
                <w:color w:val="454545"/>
                <w:shd w:val="clear" w:color="auto" w:fill="FFFFFF"/>
              </w:rPr>
              <w:t xml:space="preserve"> lorsqu’une construction ou une installation se trouve sur le bien-fonds concerné et qu’elle est située hors de la zone à bâtir au sens du droit de l’aménagement du territoire.</w:t>
            </w:r>
            <w:proofErr w:type="gramEnd"/>
          </w:p>
        </w:tc>
        <w:tc>
          <w:tcPr>
            <w:tcW w:w="5620" w:type="dxa"/>
          </w:tcPr>
          <w:p w14:paraId="2090A16B" w14:textId="69F3DBC9" w:rsidR="00B33F4A" w:rsidRPr="009474BF" w:rsidRDefault="00BD7228" w:rsidP="00BD7228">
            <w:r>
              <w:t>Nous ne voyons pas la nécessité de modifier la formulation actuelle et estimons au contraire que la modificatio</w:t>
            </w:r>
            <w:r w:rsidR="00A759B1">
              <w:t>n proposée créerait</w:t>
            </w:r>
            <w:r>
              <w:t xml:space="preserve"> davantage d’incertitudes.</w:t>
            </w:r>
          </w:p>
        </w:tc>
        <w:tc>
          <w:tcPr>
            <w:tcW w:w="532" w:type="dxa"/>
            <w:tcBorders>
              <w:top w:val="nil"/>
              <w:bottom w:val="nil"/>
              <w:right w:val="nil"/>
            </w:tcBorders>
            <w:shd w:val="clear" w:color="auto" w:fill="auto"/>
          </w:tcPr>
          <w:p w14:paraId="678D4C3A" w14:textId="77777777" w:rsidR="00B33F4A" w:rsidRPr="009474BF" w:rsidRDefault="00B33F4A">
            <w:pPr>
              <w:rPr>
                <w:b/>
              </w:rPr>
            </w:pPr>
          </w:p>
        </w:tc>
      </w:tr>
    </w:tbl>
    <w:p w14:paraId="7AC48532" w14:textId="77777777" w:rsidR="00B33F4A" w:rsidRDefault="00B67434">
      <w:pPr>
        <w:pStyle w:val="Titre1"/>
        <w:rPr>
          <w:lang w:val="it-CH"/>
        </w:rPr>
      </w:pPr>
      <w:bookmarkStart w:id="4" w:name="_Toc93667892"/>
      <w:r>
        <w:rPr>
          <w:lang w:val="it-CH"/>
        </w:rPr>
        <w:lastRenderedPageBreak/>
        <w:t>BR 02 Direktzahlungsverordnung / Ordonnance sur les paiements directs / Ordinanza sui pagamenti diretti (910.13)</w:t>
      </w:r>
      <w:bookmarkEnd w:id="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495F44D2" w14:textId="77777777">
        <w:trPr>
          <w:tblHeader/>
        </w:trPr>
        <w:tc>
          <w:tcPr>
            <w:tcW w:w="14092" w:type="dxa"/>
            <w:tcBorders>
              <w:top w:val="single" w:sz="4" w:space="0" w:color="auto"/>
              <w:left w:val="single" w:sz="4" w:space="0" w:color="auto"/>
              <w:bottom w:val="nil"/>
              <w:right w:val="single" w:sz="4" w:space="0" w:color="auto"/>
            </w:tcBorders>
          </w:tcPr>
          <w:p w14:paraId="6036D56F"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32A6F059" w14:textId="77777777" w:rsidR="00B33F4A" w:rsidRDefault="00B33F4A">
            <w:pPr>
              <w:pStyle w:val="Betreff"/>
              <w:widowControl/>
              <w:spacing w:before="0" w:after="0" w:line="240" w:lineRule="auto"/>
            </w:pPr>
          </w:p>
        </w:tc>
      </w:tr>
      <w:tr w:rsidR="00B33F4A" w:rsidRPr="003F5D0C" w14:paraId="68A22273" w14:textId="77777777" w:rsidTr="00D574EB">
        <w:trPr>
          <w:cantSplit/>
          <w:trHeight w:val="1682"/>
          <w:tblHeader/>
        </w:trPr>
        <w:tc>
          <w:tcPr>
            <w:tcW w:w="14092" w:type="dxa"/>
            <w:tcBorders>
              <w:top w:val="nil"/>
              <w:left w:val="single" w:sz="4" w:space="0" w:color="auto"/>
              <w:bottom w:val="single" w:sz="4" w:space="0" w:color="auto"/>
              <w:right w:val="single" w:sz="4" w:space="0" w:color="auto"/>
            </w:tcBorders>
          </w:tcPr>
          <w:p w14:paraId="41D721E6" w14:textId="77777777" w:rsidR="00B33F4A" w:rsidRDefault="00BD7228" w:rsidP="003F5D0C">
            <w:r w:rsidRPr="00BD7228">
              <w:t xml:space="preserve">Sur le principe, nous saluons la volonté </w:t>
            </w:r>
            <w:r w:rsidR="00187B9A">
              <w:t>de ne pas attendre la prochaine révision de la loi sur la chasse pour apporter certains soutiens aux éleveurs concernés. Nous soutenons donc le fait de ne pas diminuer les contributions d’estivage et de biodiversité en cas de désalpe anticipée suite à des attaques de loup. Toutefois, il faut éviter que cette mesure soit assortie de conditions supplémentaires, notamment en matière de protection des troupeaux, car il existe alors le risque qu’elle ne puisse être que peu utilisée. Enfin, l’Arc jurassien en particulier est concerné par des attaques répétées sur les bovins. Il est donc essentiel que les mesures de soutien ne se limitent pas aux moutons mais à l’ensemble des animaux permettant de toucher les contributions d’estivage.</w:t>
            </w:r>
          </w:p>
          <w:p w14:paraId="66E018DC" w14:textId="4D5FD4C1" w:rsidR="00E16FD1" w:rsidRPr="00BD7228" w:rsidRDefault="00E16FD1" w:rsidP="00E16FD1">
            <w:r>
              <w:t xml:space="preserve">Nous profitons également de cette consultation pour souligner qu’avec le changement climatique, il serait bienvenu que la culture de </w:t>
            </w:r>
            <w:proofErr w:type="spellStart"/>
            <w:r>
              <w:t>silphie</w:t>
            </w:r>
            <w:proofErr w:type="spellEnd"/>
            <w:r>
              <w:t xml:space="preserve"> perfoliée soit soutenue au travers des paiements directs. En effet, cette plante pluriannuelle possède de nombreux atouts, notamment une bonne résistance à la sécheresse et des rendements prometteurs. Son développement en France voisine, avec des conditions pédoclimatiques semblables à celles connues en Suisse romande, est une garantie de l’avenir de cette culture. Des obtentions et importations de semences ont été validées. Aujourd’hui, la </w:t>
            </w:r>
            <w:proofErr w:type="spellStart"/>
            <w:r>
              <w:t>silphie</w:t>
            </w:r>
            <w:proofErr w:type="spellEnd"/>
            <w:r>
              <w:t xml:space="preserve"> perfoliée se heurte toutefois au fait qu’elle ne soit pas acceptée pour le moment dans les cultures donnant droit aux paiements directs.</w:t>
            </w:r>
          </w:p>
        </w:tc>
        <w:tc>
          <w:tcPr>
            <w:tcW w:w="532" w:type="dxa"/>
            <w:tcBorders>
              <w:top w:val="nil"/>
              <w:left w:val="single" w:sz="4" w:space="0" w:color="auto"/>
              <w:bottom w:val="nil"/>
              <w:right w:val="nil"/>
            </w:tcBorders>
            <w:shd w:val="clear" w:color="auto" w:fill="auto"/>
          </w:tcPr>
          <w:p w14:paraId="3E269154" w14:textId="77777777" w:rsidR="00B33F4A" w:rsidRPr="00BD7228" w:rsidRDefault="00B33F4A">
            <w:pPr>
              <w:rPr>
                <w:b/>
              </w:rPr>
            </w:pPr>
          </w:p>
        </w:tc>
      </w:tr>
    </w:tbl>
    <w:p w14:paraId="2F1074F0" w14:textId="77777777" w:rsidR="00B33F4A" w:rsidRPr="00BD7228"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114BE0A3" w14:textId="77777777">
        <w:trPr>
          <w:tblHeader/>
        </w:trPr>
        <w:tc>
          <w:tcPr>
            <w:tcW w:w="2943" w:type="dxa"/>
          </w:tcPr>
          <w:p w14:paraId="2562E8E4"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5E8D342A"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6A171815"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1303BBE4" w14:textId="77777777" w:rsidR="00B33F4A" w:rsidRPr="007132B1" w:rsidRDefault="00B33F4A">
            <w:pPr>
              <w:widowControl/>
              <w:spacing w:after="0" w:line="240" w:lineRule="auto"/>
              <w:rPr>
                <w:b/>
                <w:lang w:val="de-CH"/>
              </w:rPr>
            </w:pPr>
          </w:p>
        </w:tc>
      </w:tr>
      <w:tr w:rsidR="007132B1" w:rsidRPr="003F5D0C" w14:paraId="596CE064" w14:textId="77777777">
        <w:tc>
          <w:tcPr>
            <w:tcW w:w="2943" w:type="dxa"/>
          </w:tcPr>
          <w:p w14:paraId="1C32F3E3" w14:textId="4D938402" w:rsidR="007132B1" w:rsidRPr="007132B1" w:rsidRDefault="007132B1">
            <w:pPr>
              <w:pStyle w:val="Anhang"/>
              <w:tabs>
                <w:tab w:val="clear" w:pos="1276"/>
              </w:tabs>
              <w:spacing w:before="0" w:after="260"/>
              <w:outlineLvl w:val="9"/>
              <w:rPr>
                <w:lang w:val="fr-CH" w:eastAsia="de-CH"/>
              </w:rPr>
            </w:pPr>
            <w:r w:rsidRPr="007132B1">
              <w:rPr>
                <w:lang w:val="fr-CH" w:eastAsia="de-CH"/>
              </w:rPr>
              <w:t xml:space="preserve">Art. 31, al. </w:t>
            </w:r>
            <w:r>
              <w:rPr>
                <w:lang w:val="fr-CH" w:eastAsia="de-CH"/>
              </w:rPr>
              <w:t>2</w:t>
            </w:r>
          </w:p>
        </w:tc>
        <w:tc>
          <w:tcPr>
            <w:tcW w:w="5529" w:type="dxa"/>
          </w:tcPr>
          <w:p w14:paraId="69C31172" w14:textId="013579FF" w:rsidR="007132B1" w:rsidRPr="007132B1" w:rsidRDefault="007132B1" w:rsidP="007132B1">
            <w:pPr>
              <w:rPr>
                <w:b/>
                <w:strike/>
              </w:rPr>
            </w:pPr>
            <w:r w:rsidRPr="007132B1">
              <w:t>Pour les vaches traites et les brebis et chèvres laitièr</w:t>
            </w:r>
            <w:r>
              <w:t>es traites, un apport complémen</w:t>
            </w:r>
            <w:r w:rsidRPr="007132B1">
              <w:t>taire de 100 kg de fourrage sec et de 100 kg d’alimen</w:t>
            </w:r>
            <w:r>
              <w:t>ts concentrés (sans les sels mi</w:t>
            </w:r>
            <w:r w:rsidRPr="007132B1">
              <w:t>néraux), d’herbe séchée et de maïs séché par PN et par période d’estivage est autorisé.</w:t>
            </w:r>
            <w:r>
              <w:t xml:space="preserve"> </w:t>
            </w:r>
            <w:r>
              <w:rPr>
                <w:b/>
              </w:rPr>
              <w:t xml:space="preserve">Il est possible d’augmenter ces quantités en cas de conditions météorologiques exceptionnelles. </w:t>
            </w:r>
          </w:p>
        </w:tc>
        <w:tc>
          <w:tcPr>
            <w:tcW w:w="5620" w:type="dxa"/>
          </w:tcPr>
          <w:p w14:paraId="7B813547" w14:textId="7510E3A6" w:rsidR="007132B1" w:rsidRDefault="007132B1" w:rsidP="007132B1">
            <w:r>
              <w:t>Des événements exceptionnels comme la grêle ou de fortes précipitations sont toujours plus fréquents. Il doit donc être possible de pallier au manque temporaire de fourrage afin d’éviter une désalpe anticipée.</w:t>
            </w:r>
          </w:p>
        </w:tc>
        <w:tc>
          <w:tcPr>
            <w:tcW w:w="532" w:type="dxa"/>
            <w:tcBorders>
              <w:top w:val="nil"/>
              <w:bottom w:val="nil"/>
              <w:right w:val="nil"/>
            </w:tcBorders>
            <w:shd w:val="clear" w:color="auto" w:fill="auto"/>
          </w:tcPr>
          <w:p w14:paraId="26E5D018" w14:textId="77777777" w:rsidR="007132B1" w:rsidRPr="00187B9A" w:rsidRDefault="007132B1">
            <w:pPr>
              <w:rPr>
                <w:b/>
              </w:rPr>
            </w:pPr>
          </w:p>
        </w:tc>
      </w:tr>
      <w:tr w:rsidR="007132B1" w:rsidRPr="003F5D0C" w14:paraId="59644AE4" w14:textId="77777777">
        <w:tc>
          <w:tcPr>
            <w:tcW w:w="2943" w:type="dxa"/>
          </w:tcPr>
          <w:p w14:paraId="29ED8BF6" w14:textId="69CAD668" w:rsidR="007132B1" w:rsidRPr="007132B1" w:rsidRDefault="007132B1">
            <w:pPr>
              <w:pStyle w:val="Anhang"/>
              <w:tabs>
                <w:tab w:val="clear" w:pos="1276"/>
              </w:tabs>
              <w:spacing w:before="0" w:after="260"/>
              <w:outlineLvl w:val="9"/>
              <w:rPr>
                <w:lang w:val="fr-CH" w:eastAsia="de-CH"/>
              </w:rPr>
            </w:pPr>
            <w:r>
              <w:rPr>
                <w:lang w:val="fr-CH" w:eastAsia="de-CH"/>
              </w:rPr>
              <w:t>Art. 35, al. 2</w:t>
            </w:r>
            <w:r w:rsidRPr="007132B1">
              <w:rPr>
                <w:i/>
                <w:lang w:val="fr-CH" w:eastAsia="de-CH"/>
              </w:rPr>
              <w:t>bis</w:t>
            </w:r>
          </w:p>
        </w:tc>
        <w:tc>
          <w:tcPr>
            <w:tcW w:w="5529" w:type="dxa"/>
          </w:tcPr>
          <w:p w14:paraId="191F2786" w14:textId="5AB17026" w:rsidR="007132B1" w:rsidRPr="007132B1" w:rsidRDefault="007132B1" w:rsidP="007132B1">
            <w:r w:rsidRPr="007132B1">
              <w:t xml:space="preserve">Les petites structures non productives présentes dans les prairies extensives le long </w:t>
            </w:r>
            <w:r w:rsidRPr="007132B1">
              <w:rPr>
                <w:strike/>
              </w:rPr>
              <w:t>d’un cours</w:t>
            </w:r>
            <w:r w:rsidRPr="007132B1">
              <w:t xml:space="preserve"> </w:t>
            </w:r>
            <w:r>
              <w:rPr>
                <w:b/>
              </w:rPr>
              <w:t xml:space="preserve">des étendues </w:t>
            </w:r>
            <w:r w:rsidRPr="007132B1">
              <w:t>d’eau (art. 55, al. 1, let. a), les surfaces à litière (art. 55, al. 1, let. e) et les prairies riveraines (art. 55, al. 1, let. g) donnent droit à des contributions à concurrence de 20 % au plus de la surface.</w:t>
            </w:r>
          </w:p>
        </w:tc>
        <w:tc>
          <w:tcPr>
            <w:tcW w:w="5620" w:type="dxa"/>
          </w:tcPr>
          <w:p w14:paraId="5B3BFA46" w14:textId="1735C118" w:rsidR="007132B1" w:rsidRDefault="007132B1" w:rsidP="001E652C">
            <w:r>
              <w:t xml:space="preserve">Le changement de dénomination de « prairie riveraine d’un cours d’eau » à « prairie riveraine » est à saluer. </w:t>
            </w:r>
            <w:r w:rsidR="001E652C">
              <w:t>Cela n’a</w:t>
            </w:r>
            <w:r w:rsidR="00DE25B3">
              <w:t xml:space="preserve"> cependant </w:t>
            </w:r>
            <w:r w:rsidR="001E652C">
              <w:t xml:space="preserve">du </w:t>
            </w:r>
            <w:r w:rsidR="00DE25B3">
              <w:t>sens que si cette souplesse intervient également dans la définition.</w:t>
            </w:r>
          </w:p>
        </w:tc>
        <w:tc>
          <w:tcPr>
            <w:tcW w:w="532" w:type="dxa"/>
            <w:tcBorders>
              <w:top w:val="nil"/>
              <w:bottom w:val="nil"/>
              <w:right w:val="nil"/>
            </w:tcBorders>
            <w:shd w:val="clear" w:color="auto" w:fill="auto"/>
          </w:tcPr>
          <w:p w14:paraId="26FD2AEB" w14:textId="77777777" w:rsidR="007132B1" w:rsidRPr="00187B9A" w:rsidRDefault="007132B1">
            <w:pPr>
              <w:rPr>
                <w:b/>
              </w:rPr>
            </w:pPr>
          </w:p>
        </w:tc>
      </w:tr>
      <w:tr w:rsidR="00DE25B3" w:rsidRPr="003F5D0C" w14:paraId="40065A67" w14:textId="77777777">
        <w:tc>
          <w:tcPr>
            <w:tcW w:w="2943" w:type="dxa"/>
          </w:tcPr>
          <w:p w14:paraId="0100F04B" w14:textId="43B46856" w:rsidR="00DE25B3" w:rsidRDefault="00DE25B3">
            <w:pPr>
              <w:pStyle w:val="Anhang"/>
              <w:tabs>
                <w:tab w:val="clear" w:pos="1276"/>
              </w:tabs>
              <w:spacing w:before="0" w:after="260"/>
              <w:outlineLvl w:val="9"/>
              <w:rPr>
                <w:lang w:val="fr-CH" w:eastAsia="de-CH"/>
              </w:rPr>
            </w:pPr>
            <w:r>
              <w:rPr>
                <w:lang w:val="fr-CH" w:eastAsia="de-CH"/>
              </w:rPr>
              <w:t>Art. 41, al. 3</w:t>
            </w:r>
          </w:p>
        </w:tc>
        <w:tc>
          <w:tcPr>
            <w:tcW w:w="5529" w:type="dxa"/>
          </w:tcPr>
          <w:p w14:paraId="1C0F1197" w14:textId="0979E534" w:rsidR="00DE25B3" w:rsidRPr="00DE25B3" w:rsidRDefault="00DE25B3" w:rsidP="007132B1">
            <w:pPr>
              <w:rPr>
                <w:rFonts w:cs="Arial"/>
                <w:b/>
              </w:rPr>
            </w:pPr>
            <w:r w:rsidRPr="00DE25B3">
              <w:rPr>
                <w:rFonts w:cs="Arial"/>
                <w:shd w:val="clear" w:color="auto" w:fill="FFFFFF"/>
              </w:rPr>
              <w:t xml:space="preserve">Il fixe une nouvelle charge usuelle lorsque la charge en bétail est durant trois années consécutives </w:t>
            </w:r>
            <w:proofErr w:type="gramStart"/>
            <w:r w:rsidRPr="00DE25B3">
              <w:rPr>
                <w:rFonts w:cs="Arial"/>
                <w:shd w:val="clear" w:color="auto" w:fill="FFFFFF"/>
              </w:rPr>
              <w:t>inférieure</w:t>
            </w:r>
            <w:proofErr w:type="gramEnd"/>
            <w:r w:rsidRPr="00DE25B3">
              <w:rPr>
                <w:rFonts w:cs="Arial"/>
                <w:shd w:val="clear" w:color="auto" w:fill="FFFFFF"/>
              </w:rPr>
              <w:t xml:space="preserve"> à 75 % de la charge usuelle fixée. Il tient compte de la charge </w:t>
            </w:r>
            <w:r w:rsidRPr="00DE25B3">
              <w:rPr>
                <w:rFonts w:cs="Arial"/>
                <w:shd w:val="clear" w:color="auto" w:fill="FFFFFF"/>
              </w:rPr>
              <w:lastRenderedPageBreak/>
              <w:t>moyenne des trois dernières années et des exigences en vue d’une exploitation durable.</w:t>
            </w:r>
            <w:r>
              <w:rPr>
                <w:rFonts w:cs="Arial"/>
                <w:shd w:val="clear" w:color="auto" w:fill="FFFFFF"/>
              </w:rPr>
              <w:t xml:space="preserve"> </w:t>
            </w:r>
            <w:r w:rsidR="003022B4">
              <w:rPr>
                <w:rFonts w:cs="Arial"/>
                <w:b/>
                <w:shd w:val="clear" w:color="auto" w:fill="FFFFFF"/>
              </w:rPr>
              <w:t>Cette disposition ne s’applique pas lorsque la charge inférieure est justifiée par des désalpe ou des changements d’exploitations à court terme liés à la présence de grands prédateurs.</w:t>
            </w:r>
          </w:p>
        </w:tc>
        <w:tc>
          <w:tcPr>
            <w:tcW w:w="5620" w:type="dxa"/>
          </w:tcPr>
          <w:p w14:paraId="09228502" w14:textId="411D0DF9" w:rsidR="00DE25B3" w:rsidRDefault="003022B4" w:rsidP="003022B4">
            <w:r>
              <w:lastRenderedPageBreak/>
              <w:t>Il serait injuste de punir administrativement des exploitations d’estivage ayant déjà subi des dégâts dus au loup.</w:t>
            </w:r>
          </w:p>
        </w:tc>
        <w:tc>
          <w:tcPr>
            <w:tcW w:w="532" w:type="dxa"/>
            <w:tcBorders>
              <w:top w:val="nil"/>
              <w:bottom w:val="nil"/>
              <w:right w:val="nil"/>
            </w:tcBorders>
            <w:shd w:val="clear" w:color="auto" w:fill="auto"/>
          </w:tcPr>
          <w:p w14:paraId="0C5550B8" w14:textId="77777777" w:rsidR="00DE25B3" w:rsidRPr="00187B9A" w:rsidRDefault="00DE25B3">
            <w:pPr>
              <w:rPr>
                <w:b/>
              </w:rPr>
            </w:pPr>
          </w:p>
        </w:tc>
      </w:tr>
      <w:tr w:rsidR="003022B4" w:rsidRPr="003F5D0C" w14:paraId="1C745621" w14:textId="77777777" w:rsidTr="00E16FD1">
        <w:tc>
          <w:tcPr>
            <w:tcW w:w="2943" w:type="dxa"/>
          </w:tcPr>
          <w:p w14:paraId="19F7750E" w14:textId="77777777" w:rsidR="003022B4" w:rsidRPr="007132B1" w:rsidRDefault="003022B4" w:rsidP="00E16FD1">
            <w:pPr>
              <w:pStyle w:val="Anhang"/>
              <w:tabs>
                <w:tab w:val="clear" w:pos="1276"/>
              </w:tabs>
              <w:spacing w:before="0" w:after="260"/>
              <w:outlineLvl w:val="9"/>
              <w:rPr>
                <w:lang w:val="fr-CH" w:eastAsia="de-CH"/>
              </w:rPr>
            </w:pPr>
            <w:r>
              <w:rPr>
                <w:lang w:val="fr-CH" w:eastAsia="de-CH"/>
              </w:rPr>
              <w:t>Art. 45, al. 1, let. a</w:t>
            </w:r>
          </w:p>
        </w:tc>
        <w:tc>
          <w:tcPr>
            <w:tcW w:w="5529" w:type="dxa"/>
          </w:tcPr>
          <w:p w14:paraId="455255F4" w14:textId="77777777" w:rsidR="003022B4" w:rsidRPr="003022B4" w:rsidRDefault="003022B4" w:rsidP="00E16FD1">
            <w:pPr>
              <w:rPr>
                <w:rFonts w:cs="Arial"/>
                <w:strike/>
              </w:rPr>
            </w:pPr>
            <w:r w:rsidRPr="003022B4">
              <w:rPr>
                <w:rFonts w:cs="Arial"/>
                <w:shd w:val="clear" w:color="auto" w:fill="FFFFFF"/>
              </w:rPr>
              <w:t xml:space="preserve">les vignobles en pente présentant une déclivité de 30 à </w:t>
            </w:r>
            <w:r w:rsidRPr="003022B4">
              <w:rPr>
                <w:rFonts w:cs="Arial"/>
                <w:strike/>
                <w:shd w:val="clear" w:color="auto" w:fill="FFFFFF"/>
              </w:rPr>
              <w:t>50</w:t>
            </w:r>
            <w:r w:rsidRPr="003022B4">
              <w:rPr>
                <w:rFonts w:cs="Arial"/>
                <w:shd w:val="clear" w:color="auto" w:fill="FFFFFF"/>
              </w:rPr>
              <w:t> </w:t>
            </w:r>
            <w:r w:rsidRPr="003022B4">
              <w:rPr>
                <w:rFonts w:cs="Arial"/>
                <w:b/>
                <w:shd w:val="clear" w:color="auto" w:fill="FFFFFF"/>
              </w:rPr>
              <w:t xml:space="preserve">45 </w:t>
            </w:r>
            <w:r w:rsidRPr="003022B4">
              <w:rPr>
                <w:rFonts w:cs="Arial"/>
                <w:shd w:val="clear" w:color="auto" w:fill="FFFFFF"/>
              </w:rPr>
              <w:t>%;</w:t>
            </w:r>
          </w:p>
        </w:tc>
        <w:tc>
          <w:tcPr>
            <w:tcW w:w="5620" w:type="dxa"/>
            <w:vMerge w:val="restart"/>
          </w:tcPr>
          <w:p w14:paraId="02B85081" w14:textId="77777777" w:rsidR="003022B4" w:rsidRDefault="003022B4" w:rsidP="00E16FD1">
            <w:r>
              <w:t>L’expérience montre que la limite en matière de dangerosité en cas de mécanisation se situe plutôt à 45 % qu’à 50 %. Il s’agit donc d’adapter la réglementation à la pratique, notamment dans une logique de prévention des accidents.</w:t>
            </w:r>
          </w:p>
        </w:tc>
        <w:tc>
          <w:tcPr>
            <w:tcW w:w="532" w:type="dxa"/>
            <w:tcBorders>
              <w:top w:val="nil"/>
              <w:bottom w:val="nil"/>
              <w:right w:val="nil"/>
            </w:tcBorders>
            <w:shd w:val="clear" w:color="auto" w:fill="auto"/>
          </w:tcPr>
          <w:p w14:paraId="73F516B0" w14:textId="77777777" w:rsidR="003022B4" w:rsidRPr="00187B9A" w:rsidRDefault="003022B4" w:rsidP="00E16FD1">
            <w:pPr>
              <w:rPr>
                <w:b/>
              </w:rPr>
            </w:pPr>
          </w:p>
        </w:tc>
      </w:tr>
      <w:tr w:rsidR="003022B4" w:rsidRPr="003F5D0C" w14:paraId="12FE1DB2" w14:textId="77777777">
        <w:tc>
          <w:tcPr>
            <w:tcW w:w="2943" w:type="dxa"/>
          </w:tcPr>
          <w:p w14:paraId="322387F0" w14:textId="73962101" w:rsidR="003022B4" w:rsidRPr="007132B1" w:rsidRDefault="003022B4" w:rsidP="003022B4">
            <w:pPr>
              <w:pStyle w:val="Anhang"/>
              <w:tabs>
                <w:tab w:val="clear" w:pos="1276"/>
              </w:tabs>
              <w:spacing w:before="0" w:after="260"/>
              <w:outlineLvl w:val="9"/>
              <w:rPr>
                <w:lang w:val="fr-CH" w:eastAsia="de-CH"/>
              </w:rPr>
            </w:pPr>
            <w:r>
              <w:rPr>
                <w:lang w:val="fr-CH" w:eastAsia="de-CH"/>
              </w:rPr>
              <w:t>Art. 45, al. 1, let. b</w:t>
            </w:r>
          </w:p>
        </w:tc>
        <w:tc>
          <w:tcPr>
            <w:tcW w:w="5529" w:type="dxa"/>
          </w:tcPr>
          <w:p w14:paraId="1822D55C" w14:textId="24EA879D" w:rsidR="003022B4" w:rsidRPr="003022B4" w:rsidRDefault="003022B4" w:rsidP="003022B4">
            <w:pPr>
              <w:rPr>
                <w:rFonts w:cs="Arial"/>
                <w:strike/>
              </w:rPr>
            </w:pPr>
            <w:r w:rsidRPr="003022B4">
              <w:rPr>
                <w:rFonts w:cs="Arial"/>
                <w:shd w:val="clear" w:color="auto" w:fill="FFFFFF"/>
              </w:rPr>
              <w:t xml:space="preserve">les vignobles en pente présentant une déclivité de </w:t>
            </w:r>
            <w:r>
              <w:rPr>
                <w:rFonts w:cs="Arial"/>
                <w:shd w:val="clear" w:color="auto" w:fill="FFFFFF"/>
              </w:rPr>
              <w:t>plus de</w:t>
            </w:r>
            <w:r w:rsidRPr="003022B4">
              <w:rPr>
                <w:rFonts w:cs="Arial"/>
                <w:shd w:val="clear" w:color="auto" w:fill="FFFFFF"/>
              </w:rPr>
              <w:t xml:space="preserve"> </w:t>
            </w:r>
            <w:r w:rsidRPr="003022B4">
              <w:rPr>
                <w:rFonts w:cs="Arial"/>
                <w:strike/>
                <w:shd w:val="clear" w:color="auto" w:fill="FFFFFF"/>
              </w:rPr>
              <w:t>50</w:t>
            </w:r>
            <w:r w:rsidRPr="003022B4">
              <w:rPr>
                <w:rFonts w:cs="Arial"/>
                <w:shd w:val="clear" w:color="auto" w:fill="FFFFFF"/>
              </w:rPr>
              <w:t> </w:t>
            </w:r>
            <w:r w:rsidRPr="003022B4">
              <w:rPr>
                <w:rFonts w:cs="Arial"/>
                <w:b/>
                <w:shd w:val="clear" w:color="auto" w:fill="FFFFFF"/>
              </w:rPr>
              <w:t xml:space="preserve">45 </w:t>
            </w:r>
            <w:r w:rsidRPr="003022B4">
              <w:rPr>
                <w:rFonts w:cs="Arial"/>
                <w:shd w:val="clear" w:color="auto" w:fill="FFFFFF"/>
              </w:rPr>
              <w:t>%;</w:t>
            </w:r>
          </w:p>
        </w:tc>
        <w:tc>
          <w:tcPr>
            <w:tcW w:w="5620" w:type="dxa"/>
            <w:vMerge/>
          </w:tcPr>
          <w:p w14:paraId="0B5FF5BA" w14:textId="617D12EE" w:rsidR="003022B4" w:rsidRDefault="003022B4" w:rsidP="003022B4"/>
        </w:tc>
        <w:tc>
          <w:tcPr>
            <w:tcW w:w="532" w:type="dxa"/>
            <w:tcBorders>
              <w:top w:val="nil"/>
              <w:bottom w:val="nil"/>
              <w:right w:val="nil"/>
            </w:tcBorders>
            <w:shd w:val="clear" w:color="auto" w:fill="auto"/>
          </w:tcPr>
          <w:p w14:paraId="7B62A919" w14:textId="77777777" w:rsidR="003022B4" w:rsidRPr="00187B9A" w:rsidRDefault="003022B4">
            <w:pPr>
              <w:rPr>
                <w:b/>
              </w:rPr>
            </w:pPr>
          </w:p>
        </w:tc>
      </w:tr>
      <w:tr w:rsidR="003022B4" w:rsidRPr="003F5D0C" w14:paraId="5BBAA31D" w14:textId="77777777">
        <w:tc>
          <w:tcPr>
            <w:tcW w:w="2943" w:type="dxa"/>
          </w:tcPr>
          <w:p w14:paraId="7A3F9B5F" w14:textId="52C83520" w:rsidR="003022B4" w:rsidRPr="007132B1" w:rsidRDefault="003022B4">
            <w:pPr>
              <w:pStyle w:val="Anhang"/>
              <w:tabs>
                <w:tab w:val="clear" w:pos="1276"/>
              </w:tabs>
              <w:spacing w:before="0" w:after="260"/>
              <w:outlineLvl w:val="9"/>
              <w:rPr>
                <w:lang w:val="fr-CH" w:eastAsia="de-CH"/>
              </w:rPr>
            </w:pPr>
            <w:r w:rsidRPr="003022B4">
              <w:rPr>
                <w:b/>
                <w:lang w:val="fr-CH" w:eastAsia="de-CH"/>
              </w:rPr>
              <w:t>Art. 45, al. 1, let. d</w:t>
            </w:r>
            <w:r>
              <w:rPr>
                <w:lang w:val="fr-CH" w:eastAsia="de-CH"/>
              </w:rPr>
              <w:t xml:space="preserve"> (nouveau)</w:t>
            </w:r>
          </w:p>
        </w:tc>
        <w:tc>
          <w:tcPr>
            <w:tcW w:w="5529" w:type="dxa"/>
          </w:tcPr>
          <w:p w14:paraId="75388D96" w14:textId="3BC815A6" w:rsidR="003022B4" w:rsidRPr="003022B4" w:rsidRDefault="002B388B">
            <w:pPr>
              <w:rPr>
                <w:b/>
              </w:rPr>
            </w:pPr>
            <w:r>
              <w:rPr>
                <w:b/>
              </w:rPr>
              <w:t>les vignobles en banquettes présentant une déclivité naturelle de plus de 30 %.</w:t>
            </w:r>
          </w:p>
        </w:tc>
        <w:tc>
          <w:tcPr>
            <w:tcW w:w="5620" w:type="dxa"/>
          </w:tcPr>
          <w:p w14:paraId="159C99EC" w14:textId="6588DBD9" w:rsidR="003022B4" w:rsidRDefault="002B388B" w:rsidP="00187B9A">
            <w:r>
              <w:t>Le travail en banquettes permet une mécanisation des vignes en forte pente dans des conditions moins dangereuses qu’en cas de maintien de la déclivité naturelle. Il s’agit d’encourager cette pratique qui, sinon, est parfois trop onéreuse pour certaines exploitations.</w:t>
            </w:r>
          </w:p>
        </w:tc>
        <w:tc>
          <w:tcPr>
            <w:tcW w:w="532" w:type="dxa"/>
            <w:tcBorders>
              <w:top w:val="nil"/>
              <w:bottom w:val="nil"/>
              <w:right w:val="nil"/>
            </w:tcBorders>
            <w:shd w:val="clear" w:color="auto" w:fill="auto"/>
          </w:tcPr>
          <w:p w14:paraId="33C9B1E6" w14:textId="77777777" w:rsidR="003022B4" w:rsidRPr="00187B9A" w:rsidRDefault="003022B4">
            <w:pPr>
              <w:rPr>
                <w:b/>
              </w:rPr>
            </w:pPr>
          </w:p>
        </w:tc>
      </w:tr>
      <w:tr w:rsidR="00B33F4A" w:rsidRPr="003F5D0C" w14:paraId="5B61BC13" w14:textId="77777777">
        <w:tc>
          <w:tcPr>
            <w:tcW w:w="2943" w:type="dxa"/>
          </w:tcPr>
          <w:p w14:paraId="26F599A5" w14:textId="77777777" w:rsidR="00B33F4A" w:rsidRPr="007132B1" w:rsidRDefault="00187B9A">
            <w:pPr>
              <w:pStyle w:val="Anhang"/>
              <w:tabs>
                <w:tab w:val="clear" w:pos="1276"/>
              </w:tabs>
              <w:spacing w:before="0" w:after="260"/>
              <w:outlineLvl w:val="9"/>
              <w:rPr>
                <w:lang w:val="fr-CH" w:eastAsia="de-CH"/>
              </w:rPr>
            </w:pPr>
            <w:r w:rsidRPr="007132B1">
              <w:rPr>
                <w:lang w:val="fr-CH" w:eastAsia="de-CH"/>
              </w:rPr>
              <w:t>Art. 48, al. 1</w:t>
            </w:r>
          </w:p>
        </w:tc>
        <w:tc>
          <w:tcPr>
            <w:tcW w:w="5529" w:type="dxa"/>
          </w:tcPr>
          <w:p w14:paraId="37140CE8" w14:textId="77777777" w:rsidR="00B33F4A" w:rsidRPr="00187B9A" w:rsidRDefault="00187B9A">
            <w:pPr>
              <w:rPr>
                <w:strike/>
              </w:rPr>
            </w:pPr>
            <w:r w:rsidRPr="00187B9A">
              <w:rPr>
                <w:strike/>
              </w:rPr>
              <w:t>Dans le cas du système de pacage de la surveillance permanente par un berger, la rémunération des bergers doit correspondre au moins aux normes usuelles de la branche.</w:t>
            </w:r>
          </w:p>
        </w:tc>
        <w:tc>
          <w:tcPr>
            <w:tcW w:w="5620" w:type="dxa"/>
          </w:tcPr>
          <w:p w14:paraId="17400271" w14:textId="77777777" w:rsidR="00B33F4A" w:rsidRPr="00187B9A" w:rsidRDefault="00187B9A" w:rsidP="00187B9A">
            <w:r>
              <w:t>Nous ne voyons pas de sens à introduire la mention de la rémunération des bergers dans l’ordonnance sur les paiements directs. Ceci crée de plus une inégalité de traitement avec les autres catégories d’employés dans l’agriculture et ne va pas dans le sens de la simplification admini</w:t>
            </w:r>
            <w:r w:rsidR="003F5D0C">
              <w:t>s</w:t>
            </w:r>
            <w:r>
              <w:t>trative.</w:t>
            </w:r>
          </w:p>
        </w:tc>
        <w:tc>
          <w:tcPr>
            <w:tcW w:w="532" w:type="dxa"/>
            <w:tcBorders>
              <w:top w:val="nil"/>
              <w:bottom w:val="nil"/>
              <w:right w:val="nil"/>
            </w:tcBorders>
            <w:shd w:val="clear" w:color="auto" w:fill="auto"/>
          </w:tcPr>
          <w:p w14:paraId="0DAA5A95" w14:textId="77777777" w:rsidR="00B33F4A" w:rsidRPr="00187B9A" w:rsidRDefault="00B33F4A">
            <w:pPr>
              <w:rPr>
                <w:b/>
              </w:rPr>
            </w:pPr>
          </w:p>
        </w:tc>
      </w:tr>
      <w:tr w:rsidR="00B33F4A" w:rsidRPr="003F5D0C" w14:paraId="12AE1D49" w14:textId="77777777">
        <w:tc>
          <w:tcPr>
            <w:tcW w:w="2943" w:type="dxa"/>
          </w:tcPr>
          <w:p w14:paraId="4F791CB6" w14:textId="77777777" w:rsidR="00B33F4A" w:rsidRPr="00187B9A" w:rsidRDefault="00187B9A">
            <w:r>
              <w:t>Art. 48, al. 2</w:t>
            </w:r>
          </w:p>
        </w:tc>
        <w:tc>
          <w:tcPr>
            <w:tcW w:w="5529" w:type="dxa"/>
          </w:tcPr>
          <w:p w14:paraId="744F5CF6" w14:textId="77777777" w:rsidR="00B33F4A" w:rsidRPr="00863CAA" w:rsidRDefault="00863CAA">
            <w:pPr>
              <w:rPr>
                <w:strike/>
              </w:rPr>
            </w:pPr>
            <w:r w:rsidRPr="00863CAA">
              <w:rPr>
                <w:strike/>
              </w:rPr>
              <w:t>Le système de pacage du pâturage tournant assorti de mesures de protection des troupeaux n’est possible que pour une taille du troupeau inférieure à 300 moutons.</w:t>
            </w:r>
          </w:p>
        </w:tc>
        <w:tc>
          <w:tcPr>
            <w:tcW w:w="5620" w:type="dxa"/>
          </w:tcPr>
          <w:p w14:paraId="23AE4A52" w14:textId="77777777" w:rsidR="00B33F4A" w:rsidRPr="00187B9A" w:rsidRDefault="00863CAA" w:rsidP="00863CAA">
            <w:r>
              <w:t>AGORA refuse ce plafond arbitraire de 300 moutons ne tenant pas compte de la diversité des situations.</w:t>
            </w:r>
          </w:p>
        </w:tc>
        <w:tc>
          <w:tcPr>
            <w:tcW w:w="532" w:type="dxa"/>
            <w:tcBorders>
              <w:top w:val="nil"/>
              <w:bottom w:val="nil"/>
              <w:right w:val="nil"/>
            </w:tcBorders>
            <w:shd w:val="clear" w:color="auto" w:fill="auto"/>
          </w:tcPr>
          <w:p w14:paraId="7065F67D" w14:textId="77777777" w:rsidR="00B33F4A" w:rsidRPr="00187B9A" w:rsidRDefault="00B33F4A">
            <w:pPr>
              <w:rPr>
                <w:b/>
              </w:rPr>
            </w:pPr>
          </w:p>
        </w:tc>
      </w:tr>
      <w:tr w:rsidR="00B33F4A" w:rsidRPr="003F5D0C" w14:paraId="24A1C5C5" w14:textId="77777777">
        <w:tc>
          <w:tcPr>
            <w:tcW w:w="2943" w:type="dxa"/>
          </w:tcPr>
          <w:p w14:paraId="3CA6475F" w14:textId="77777777" w:rsidR="00B33F4A" w:rsidRPr="00187B9A" w:rsidRDefault="00863CAA">
            <w:r>
              <w:t>Art. 107a, al. 1, let. a</w:t>
            </w:r>
          </w:p>
        </w:tc>
        <w:tc>
          <w:tcPr>
            <w:tcW w:w="5529" w:type="dxa"/>
          </w:tcPr>
          <w:p w14:paraId="520CD6C9" w14:textId="77777777" w:rsidR="00B33F4A" w:rsidRPr="00863CAA" w:rsidRDefault="00863CAA">
            <w:pPr>
              <w:rPr>
                <w:strike/>
              </w:rPr>
            </w:pPr>
            <w:r w:rsidRPr="00863CAA">
              <w:rPr>
                <w:strike/>
              </w:rPr>
              <w:t>dans le cas d’alpages protégés par des mesures de protection raisonnables visées à l’art. 10quinqies, al. 1, de l’ordonnance du 29 février 1988 sur la chasse (</w:t>
            </w:r>
            <w:proofErr w:type="spellStart"/>
            <w:r w:rsidRPr="00863CAA">
              <w:rPr>
                <w:strike/>
              </w:rPr>
              <w:t>OChP</w:t>
            </w:r>
            <w:proofErr w:type="spellEnd"/>
            <w:r w:rsidRPr="00863CAA">
              <w:rPr>
                <w:strike/>
              </w:rPr>
              <w:t>), des mesures de protection supplémentaires contre les grands prédateurs seraient disproportionné</w:t>
            </w:r>
          </w:p>
        </w:tc>
        <w:tc>
          <w:tcPr>
            <w:tcW w:w="5620" w:type="dxa"/>
          </w:tcPr>
          <w:p w14:paraId="5198BD9A" w14:textId="77777777" w:rsidR="00B33F4A" w:rsidRPr="00187B9A" w:rsidRDefault="00863CAA">
            <w:r>
              <w:t>Nous refusons cette conditionnalité qui risque de rendre la mesure nettement moins attractive.</w:t>
            </w:r>
          </w:p>
        </w:tc>
        <w:tc>
          <w:tcPr>
            <w:tcW w:w="532" w:type="dxa"/>
            <w:tcBorders>
              <w:top w:val="nil"/>
              <w:bottom w:val="nil"/>
              <w:right w:val="nil"/>
            </w:tcBorders>
            <w:shd w:val="clear" w:color="auto" w:fill="auto"/>
          </w:tcPr>
          <w:p w14:paraId="6BAE9BF4" w14:textId="77777777" w:rsidR="00B33F4A" w:rsidRPr="00187B9A" w:rsidRDefault="00B33F4A">
            <w:pPr>
              <w:rPr>
                <w:b/>
              </w:rPr>
            </w:pPr>
          </w:p>
        </w:tc>
      </w:tr>
      <w:tr w:rsidR="00B33F4A" w:rsidRPr="003F5D0C" w14:paraId="1C98678E" w14:textId="77777777">
        <w:tc>
          <w:tcPr>
            <w:tcW w:w="2943" w:type="dxa"/>
          </w:tcPr>
          <w:p w14:paraId="6D2CE038" w14:textId="77777777" w:rsidR="00B33F4A" w:rsidRPr="00187B9A" w:rsidRDefault="00863CAA">
            <w:r>
              <w:lastRenderedPageBreak/>
              <w:t>Art. 107a, al. 1, let. b</w:t>
            </w:r>
          </w:p>
        </w:tc>
        <w:tc>
          <w:tcPr>
            <w:tcW w:w="5529" w:type="dxa"/>
          </w:tcPr>
          <w:p w14:paraId="6DA2B363" w14:textId="77777777" w:rsidR="00B33F4A" w:rsidRPr="00863CAA" w:rsidRDefault="00863CAA">
            <w:r w:rsidRPr="00863CAA">
              <w:t xml:space="preserve">dans le cas d’alpages dans lesquels </w:t>
            </w:r>
            <w:r w:rsidRPr="00863CAA">
              <w:rPr>
                <w:strike/>
              </w:rPr>
              <w:t xml:space="preserve">les mesures de protection ne sont pas considérées comme raisonnables conformément à l’art. 10quinqies, al. 2, </w:t>
            </w:r>
            <w:proofErr w:type="spellStart"/>
            <w:r w:rsidRPr="00863CAA">
              <w:rPr>
                <w:strike/>
              </w:rPr>
              <w:t>OChP</w:t>
            </w:r>
            <w:proofErr w:type="spellEnd"/>
            <w:r>
              <w:t xml:space="preserve">, </w:t>
            </w:r>
            <w:r>
              <w:rPr>
                <w:b/>
              </w:rPr>
              <w:t xml:space="preserve">durant l’année de contribution et au cours des deux années précédentes au maximum, </w:t>
            </w:r>
            <w:r>
              <w:t>au</w:t>
            </w:r>
            <w:r w:rsidRPr="00863CAA">
              <w:t xml:space="preserve">cune adaptation de la contribution d’estivage n’a été effectuée </w:t>
            </w:r>
            <w:r w:rsidRPr="00D574EB">
              <w:rPr>
                <w:strike/>
              </w:rPr>
              <w:t>au cours des quatre années précédentes</w:t>
            </w:r>
            <w:r w:rsidRPr="00863CAA">
              <w:t xml:space="preserve"> en raison d’une désalpe précoce due aux grands prédateurs.</w:t>
            </w:r>
          </w:p>
        </w:tc>
        <w:tc>
          <w:tcPr>
            <w:tcW w:w="5620" w:type="dxa"/>
          </w:tcPr>
          <w:p w14:paraId="15C8BE4D" w14:textId="77777777" w:rsidR="00B33F4A" w:rsidRPr="00187B9A" w:rsidRDefault="00D574EB" w:rsidP="00D574EB">
            <w:r>
              <w:t>La mise en place de mesures de protection peut prendre du temps et c’est pourquoi il doit être possible de renoncer trois années de suite à la réduction des contributions. Par ailleurs, le lien avec la réglementation sur la chasse complique le système.</w:t>
            </w:r>
          </w:p>
        </w:tc>
        <w:tc>
          <w:tcPr>
            <w:tcW w:w="532" w:type="dxa"/>
            <w:tcBorders>
              <w:top w:val="nil"/>
              <w:bottom w:val="nil"/>
              <w:right w:val="nil"/>
            </w:tcBorders>
            <w:shd w:val="clear" w:color="auto" w:fill="auto"/>
          </w:tcPr>
          <w:p w14:paraId="513941A6" w14:textId="77777777" w:rsidR="00B33F4A" w:rsidRPr="00187B9A" w:rsidRDefault="00B33F4A">
            <w:pPr>
              <w:rPr>
                <w:b/>
              </w:rPr>
            </w:pPr>
          </w:p>
        </w:tc>
      </w:tr>
      <w:tr w:rsidR="00B33F4A" w:rsidRPr="003F5D0C" w14:paraId="46050AC5" w14:textId="77777777">
        <w:tc>
          <w:tcPr>
            <w:tcW w:w="2943" w:type="dxa"/>
          </w:tcPr>
          <w:p w14:paraId="1DC97BCB" w14:textId="77777777" w:rsidR="00B33F4A" w:rsidRPr="00187B9A" w:rsidRDefault="00D574EB" w:rsidP="00D574EB">
            <w:r w:rsidRPr="00D574EB">
              <w:rPr>
                <w:b/>
              </w:rPr>
              <w:t>Art. 107a, al. 1, let. c</w:t>
            </w:r>
            <w:r>
              <w:t xml:space="preserve"> (nouveau)</w:t>
            </w:r>
          </w:p>
        </w:tc>
        <w:tc>
          <w:tcPr>
            <w:tcW w:w="5529" w:type="dxa"/>
          </w:tcPr>
          <w:p w14:paraId="559EDFFB" w14:textId="77777777" w:rsidR="00B33F4A" w:rsidRPr="00D574EB" w:rsidRDefault="00D574EB">
            <w:pPr>
              <w:rPr>
                <w:b/>
              </w:rPr>
            </w:pPr>
            <w:r w:rsidRPr="00D574EB">
              <w:rPr>
                <w:b/>
              </w:rPr>
              <w:t>dans les cas d’alpages où une planification ne peut pas être organisée de manière qu’une protection raisonnable des troupeaux soit possible, la restriction selon la let. b n’est pas applicable.</w:t>
            </w:r>
          </w:p>
        </w:tc>
        <w:tc>
          <w:tcPr>
            <w:tcW w:w="5620" w:type="dxa"/>
          </w:tcPr>
          <w:p w14:paraId="4B0373BA" w14:textId="77777777" w:rsidR="00B33F4A" w:rsidRPr="00187B9A" w:rsidRDefault="00D574EB" w:rsidP="00D574EB">
            <w:r>
              <w:t>Il s’agit de bien tenir compte des alpages pour lesquels la mise en place de manière raisonnable une protection des troupeaux.</w:t>
            </w:r>
          </w:p>
        </w:tc>
        <w:tc>
          <w:tcPr>
            <w:tcW w:w="532" w:type="dxa"/>
            <w:tcBorders>
              <w:top w:val="nil"/>
              <w:bottom w:val="nil"/>
              <w:right w:val="nil"/>
            </w:tcBorders>
            <w:shd w:val="clear" w:color="auto" w:fill="auto"/>
          </w:tcPr>
          <w:p w14:paraId="5E7B94B7" w14:textId="77777777" w:rsidR="00B33F4A" w:rsidRPr="00187B9A" w:rsidRDefault="00B33F4A">
            <w:pPr>
              <w:rPr>
                <w:b/>
              </w:rPr>
            </w:pPr>
          </w:p>
        </w:tc>
      </w:tr>
      <w:tr w:rsidR="00B33F4A" w:rsidRPr="003F5D0C" w14:paraId="6BC20C19" w14:textId="77777777">
        <w:tc>
          <w:tcPr>
            <w:tcW w:w="2943" w:type="dxa"/>
          </w:tcPr>
          <w:p w14:paraId="4A7AFCAF" w14:textId="77777777" w:rsidR="00B33F4A" w:rsidRPr="00187B9A" w:rsidRDefault="00D574EB" w:rsidP="00D574EB">
            <w:r>
              <w:t>Art. 107a, al. 2</w:t>
            </w:r>
          </w:p>
        </w:tc>
        <w:tc>
          <w:tcPr>
            <w:tcW w:w="5529" w:type="dxa"/>
          </w:tcPr>
          <w:p w14:paraId="6B3CAC99" w14:textId="77777777" w:rsidR="00B33F4A" w:rsidRPr="00187B9A" w:rsidRDefault="00D574EB">
            <w:r w:rsidRPr="00D574EB">
              <w:t>L’exploitant doit déposer la demande de non-adaptation de la contribution d’estivage et de la contribution à la biodiversité auprès de l’autorité dési</w:t>
            </w:r>
            <w:r>
              <w:t>gnée par le canton con</w:t>
            </w:r>
            <w:r w:rsidRPr="00D574EB">
              <w:t xml:space="preserve">cerné. Celle-ci consulte les spécialistes cantonaux compétents pour la protection des troupeaux </w:t>
            </w:r>
            <w:r w:rsidRPr="00D574EB">
              <w:rPr>
                <w:strike/>
              </w:rPr>
              <w:t>et la chasse</w:t>
            </w:r>
            <w:r w:rsidRPr="00D574EB">
              <w:t xml:space="preserve"> lors de l’évaluation de la demande. </w:t>
            </w:r>
            <w:r>
              <w:t>Les cantons règlent la procédure.</w:t>
            </w:r>
          </w:p>
        </w:tc>
        <w:tc>
          <w:tcPr>
            <w:tcW w:w="5620" w:type="dxa"/>
          </w:tcPr>
          <w:p w14:paraId="11B6606C" w14:textId="77777777" w:rsidR="00B33F4A" w:rsidRPr="00187B9A" w:rsidRDefault="00D574EB">
            <w:r>
              <w:t>Par cohérence avec d’autres modifications demandées, le lien avec la chasse doit également être supprimé dans cet article.</w:t>
            </w:r>
          </w:p>
        </w:tc>
        <w:tc>
          <w:tcPr>
            <w:tcW w:w="532" w:type="dxa"/>
            <w:tcBorders>
              <w:top w:val="nil"/>
              <w:bottom w:val="nil"/>
              <w:right w:val="nil"/>
            </w:tcBorders>
            <w:shd w:val="clear" w:color="auto" w:fill="auto"/>
          </w:tcPr>
          <w:p w14:paraId="1C9DC602" w14:textId="77777777" w:rsidR="00B33F4A" w:rsidRPr="00187B9A" w:rsidRDefault="00B33F4A">
            <w:pPr>
              <w:rPr>
                <w:b/>
              </w:rPr>
            </w:pPr>
          </w:p>
        </w:tc>
      </w:tr>
      <w:tr w:rsidR="0059676B" w:rsidRPr="003F5D0C" w14:paraId="0D86610A" w14:textId="77777777">
        <w:tc>
          <w:tcPr>
            <w:tcW w:w="2943" w:type="dxa"/>
          </w:tcPr>
          <w:p w14:paraId="76BA697C" w14:textId="4C6FF59B" w:rsidR="0059676B" w:rsidRPr="0059676B" w:rsidRDefault="0059676B" w:rsidP="00D574EB">
            <w:r>
              <w:rPr>
                <w:b/>
              </w:rPr>
              <w:t>Art. 107a, al. 3</w:t>
            </w:r>
            <w:r>
              <w:t xml:space="preserve"> (nouveau)</w:t>
            </w:r>
          </w:p>
        </w:tc>
        <w:tc>
          <w:tcPr>
            <w:tcW w:w="5529" w:type="dxa"/>
          </w:tcPr>
          <w:p w14:paraId="686DB766" w14:textId="76B0A39B" w:rsidR="0059676B" w:rsidRPr="0059676B" w:rsidRDefault="0059676B">
            <w:pPr>
              <w:rPr>
                <w:b/>
              </w:rPr>
            </w:pPr>
            <w:r w:rsidRPr="0059676B">
              <w:rPr>
                <w:b/>
              </w:rPr>
              <w:t>En outre, les agriculteurs</w:t>
            </w:r>
            <w:r>
              <w:rPr>
                <w:b/>
              </w:rPr>
              <w:t xml:space="preserve"> concernés qui ont dû procéder à une désalpe précoce de certains animaux en raison d’attaques de grands prédateurs doivent recevoir l’intégralité de la contribution d’estivage. Dans ce cas, l’agriculteur concerné doit en outre recevoir une indemnité pour le fourrage perdu à hauteur de CHF 2,50 par jour pour le menu bétail et de CHF 5.- pour les bovins.</w:t>
            </w:r>
          </w:p>
        </w:tc>
        <w:tc>
          <w:tcPr>
            <w:tcW w:w="5620" w:type="dxa"/>
          </w:tcPr>
          <w:p w14:paraId="5421BFE9" w14:textId="11CFEF4A" w:rsidR="0059676B" w:rsidRDefault="0059676B" w:rsidP="0059676B">
            <w:r>
              <w:t>Lorsqu’un animal doit être désalpé prématurément en raison de la présence du loup, l’agriculteur doit être intégralement indemnisé, y compris pour le fourrage perdu.</w:t>
            </w:r>
          </w:p>
        </w:tc>
        <w:tc>
          <w:tcPr>
            <w:tcW w:w="532" w:type="dxa"/>
            <w:tcBorders>
              <w:top w:val="nil"/>
              <w:bottom w:val="nil"/>
              <w:right w:val="nil"/>
            </w:tcBorders>
            <w:shd w:val="clear" w:color="auto" w:fill="auto"/>
          </w:tcPr>
          <w:p w14:paraId="2DCC3127" w14:textId="77777777" w:rsidR="0059676B" w:rsidRPr="00187B9A" w:rsidRDefault="0059676B">
            <w:pPr>
              <w:rPr>
                <w:b/>
              </w:rPr>
            </w:pPr>
          </w:p>
        </w:tc>
      </w:tr>
      <w:tr w:rsidR="00D83091" w:rsidRPr="003F5D0C" w14:paraId="3D2F8AE6" w14:textId="77777777">
        <w:tc>
          <w:tcPr>
            <w:tcW w:w="2943" w:type="dxa"/>
          </w:tcPr>
          <w:p w14:paraId="0E56FEF7" w14:textId="77777777" w:rsidR="00D83091" w:rsidRDefault="00D83091">
            <w:r>
              <w:t>Annexe 1, ch. 2.1.9, let. a</w:t>
            </w:r>
          </w:p>
        </w:tc>
        <w:tc>
          <w:tcPr>
            <w:tcW w:w="5529" w:type="dxa"/>
          </w:tcPr>
          <w:p w14:paraId="3A800227" w14:textId="77777777" w:rsidR="00D83091" w:rsidRPr="00D83091" w:rsidRDefault="00D83091" w:rsidP="00D83091">
            <w:pPr>
              <w:spacing w:after="0"/>
            </w:pPr>
            <w:r w:rsidRPr="00D83091">
              <w:t xml:space="preserve">Zone de plaine </w:t>
            </w:r>
          </w:p>
          <w:p w14:paraId="5BDF6364" w14:textId="77777777" w:rsidR="00D83091" w:rsidRPr="00D83091" w:rsidRDefault="00D83091" w:rsidP="00D83091">
            <w:pPr>
              <w:spacing w:after="0"/>
              <w:rPr>
                <w:b/>
              </w:rPr>
            </w:pPr>
            <w:r w:rsidRPr="00D83091">
              <w:t xml:space="preserve">l‘azote </w:t>
            </w:r>
            <w:r w:rsidRPr="00D83091">
              <w:rPr>
                <w:strike/>
              </w:rPr>
              <w:t>20</w:t>
            </w:r>
            <w:r>
              <w:t xml:space="preserve"> </w:t>
            </w:r>
            <w:r>
              <w:rPr>
                <w:b/>
              </w:rPr>
              <w:t>2.0</w:t>
            </w:r>
          </w:p>
          <w:p w14:paraId="23F4C946" w14:textId="77777777" w:rsidR="00D83091" w:rsidRPr="00D83091" w:rsidRDefault="00D83091" w:rsidP="00D83091">
            <w:pPr>
              <w:rPr>
                <w:b/>
              </w:rPr>
            </w:pPr>
            <w:r>
              <w:t>le phosphore</w:t>
            </w:r>
            <w:r w:rsidRPr="00D83091">
              <w:t xml:space="preserve"> </w:t>
            </w:r>
            <w:r w:rsidRPr="00D83091">
              <w:rPr>
                <w:strike/>
              </w:rPr>
              <w:t>20</w:t>
            </w:r>
            <w:r>
              <w:t xml:space="preserve"> </w:t>
            </w:r>
            <w:r>
              <w:rPr>
                <w:b/>
              </w:rPr>
              <w:t>2.0</w:t>
            </w:r>
          </w:p>
        </w:tc>
        <w:tc>
          <w:tcPr>
            <w:tcW w:w="5620" w:type="dxa"/>
          </w:tcPr>
          <w:p w14:paraId="00DA4306" w14:textId="77777777" w:rsidR="00D83091" w:rsidRDefault="00D83091" w:rsidP="00D83091">
            <w:r>
              <w:t>Le point a été oublié dans la version en consultation et donne donc la valeur illogique de 20 UGB/ha.</w:t>
            </w:r>
          </w:p>
        </w:tc>
        <w:tc>
          <w:tcPr>
            <w:tcW w:w="532" w:type="dxa"/>
            <w:tcBorders>
              <w:top w:val="nil"/>
              <w:bottom w:val="nil"/>
              <w:right w:val="nil"/>
            </w:tcBorders>
            <w:shd w:val="clear" w:color="auto" w:fill="auto"/>
          </w:tcPr>
          <w:p w14:paraId="5049E052" w14:textId="77777777" w:rsidR="00D83091" w:rsidRPr="00187B9A" w:rsidRDefault="00D83091">
            <w:pPr>
              <w:rPr>
                <w:b/>
              </w:rPr>
            </w:pPr>
          </w:p>
        </w:tc>
      </w:tr>
      <w:tr w:rsidR="00B33F4A" w:rsidRPr="003F5D0C" w14:paraId="24511E70" w14:textId="77777777">
        <w:tc>
          <w:tcPr>
            <w:tcW w:w="2943" w:type="dxa"/>
          </w:tcPr>
          <w:p w14:paraId="63F06814" w14:textId="77777777" w:rsidR="00B33F4A" w:rsidRPr="00187B9A" w:rsidRDefault="00D574EB">
            <w:r>
              <w:lastRenderedPageBreak/>
              <w:t>Annexe 2, ch. 4.1.1</w:t>
            </w:r>
          </w:p>
        </w:tc>
        <w:tc>
          <w:tcPr>
            <w:tcW w:w="5529" w:type="dxa"/>
          </w:tcPr>
          <w:p w14:paraId="18D5AEE5" w14:textId="77777777" w:rsidR="00B33F4A" w:rsidRPr="00D574EB" w:rsidRDefault="00D574EB">
            <w:r w:rsidRPr="00D574EB">
              <w:t>Le troupeau est mené par un berger accompagné de ch</w:t>
            </w:r>
            <w:r>
              <w:t>iens et conduit quoti</w:t>
            </w:r>
            <w:r w:rsidRPr="00D574EB">
              <w:t xml:space="preserve">diennement à un pâturage choisi par le berger. </w:t>
            </w:r>
            <w:r w:rsidRPr="00D574EB">
              <w:rPr>
                <w:strike/>
              </w:rPr>
              <w:t>À partir d’une taille de 500 moutons, le troupeau doit être mené par au moins deux bergers.</w:t>
            </w:r>
          </w:p>
        </w:tc>
        <w:tc>
          <w:tcPr>
            <w:tcW w:w="5620" w:type="dxa"/>
          </w:tcPr>
          <w:p w14:paraId="58A342AF" w14:textId="77777777" w:rsidR="00B33F4A" w:rsidRPr="00187B9A" w:rsidRDefault="00D574EB">
            <w:r>
              <w:t>Nous estimons que ce n’est pas à l’administration de définir à partir de quel chiffre l’engagement d’un deuxième berger est nécessaire. En effet, ceci ne tient pas assez compte du contexte spécifique de chaque alpage.</w:t>
            </w:r>
          </w:p>
        </w:tc>
        <w:tc>
          <w:tcPr>
            <w:tcW w:w="532" w:type="dxa"/>
            <w:tcBorders>
              <w:top w:val="nil"/>
              <w:bottom w:val="nil"/>
              <w:right w:val="nil"/>
            </w:tcBorders>
            <w:shd w:val="clear" w:color="auto" w:fill="auto"/>
          </w:tcPr>
          <w:p w14:paraId="0A4215F5" w14:textId="77777777" w:rsidR="00B33F4A" w:rsidRPr="00187B9A" w:rsidRDefault="00B33F4A">
            <w:pPr>
              <w:rPr>
                <w:b/>
              </w:rPr>
            </w:pPr>
          </w:p>
        </w:tc>
      </w:tr>
      <w:tr w:rsidR="0059676B" w:rsidRPr="003F5D0C" w14:paraId="7DBE45D1" w14:textId="77777777">
        <w:tc>
          <w:tcPr>
            <w:tcW w:w="2943" w:type="dxa"/>
          </w:tcPr>
          <w:p w14:paraId="003A31B3" w14:textId="0789575E" w:rsidR="0059676B" w:rsidRPr="00FD5836" w:rsidRDefault="0059676B">
            <w:r w:rsidRPr="00FD5836">
              <w:t>Annexe 2, ch. 4.1.4</w:t>
            </w:r>
          </w:p>
        </w:tc>
        <w:tc>
          <w:tcPr>
            <w:tcW w:w="5529" w:type="dxa"/>
          </w:tcPr>
          <w:p w14:paraId="53915706" w14:textId="08A6E9B8" w:rsidR="0059676B" w:rsidRPr="00FD5836" w:rsidRDefault="002155FD">
            <w:pPr>
              <w:rPr>
                <w:rFonts w:cs="Arial"/>
                <w:b/>
              </w:rPr>
            </w:pPr>
            <w:r w:rsidRPr="00FD5836">
              <w:rPr>
                <w:rFonts w:cs="Arial"/>
                <w:shd w:val="clear" w:color="auto" w:fill="FFFFFF"/>
              </w:rPr>
              <w:t xml:space="preserve">La durée de séjour dans un même secteur ou sur une même surface pâturable n’excède pas deux semaines et une même surface sert de nouveau au pacage, au plus tôt quatre semaines après. </w:t>
            </w:r>
            <w:r w:rsidRPr="00FD5836">
              <w:rPr>
                <w:rFonts w:cs="Arial"/>
                <w:b/>
                <w:shd w:val="clear" w:color="auto" w:fill="FFFFFF"/>
              </w:rPr>
              <w:t>Les changements nécessaires à la protection des troupeaux, comme l’exploitation d’enclos nocturnes, constituent des exceptions.</w:t>
            </w:r>
          </w:p>
        </w:tc>
        <w:tc>
          <w:tcPr>
            <w:tcW w:w="5620" w:type="dxa"/>
          </w:tcPr>
          <w:p w14:paraId="09C46776" w14:textId="19CB11C1" w:rsidR="0059676B" w:rsidRDefault="002155FD">
            <w:r w:rsidRPr="00FD5836">
              <w:t>Certaines exigences liées à la surveillance permanente ne sont pas compatible avec la protection des troupeaux. Une exception est dans ces cas nécessaires.</w:t>
            </w:r>
          </w:p>
        </w:tc>
        <w:tc>
          <w:tcPr>
            <w:tcW w:w="532" w:type="dxa"/>
            <w:tcBorders>
              <w:top w:val="nil"/>
              <w:bottom w:val="nil"/>
              <w:right w:val="nil"/>
            </w:tcBorders>
            <w:shd w:val="clear" w:color="auto" w:fill="auto"/>
          </w:tcPr>
          <w:p w14:paraId="4EC1D968" w14:textId="77777777" w:rsidR="0059676B" w:rsidRPr="00187B9A" w:rsidRDefault="0059676B">
            <w:pPr>
              <w:rPr>
                <w:b/>
              </w:rPr>
            </w:pPr>
          </w:p>
        </w:tc>
      </w:tr>
      <w:tr w:rsidR="00B33F4A" w:rsidRPr="003F5D0C" w14:paraId="167C0935" w14:textId="77777777">
        <w:tc>
          <w:tcPr>
            <w:tcW w:w="2943" w:type="dxa"/>
          </w:tcPr>
          <w:p w14:paraId="57097EA3" w14:textId="77777777" w:rsidR="00B33F4A" w:rsidRPr="00187B9A" w:rsidRDefault="00D574EB">
            <w:r>
              <w:t>Annexe 2, ch. 4.2a.2</w:t>
            </w:r>
          </w:p>
        </w:tc>
        <w:tc>
          <w:tcPr>
            <w:tcW w:w="5529" w:type="dxa"/>
          </w:tcPr>
          <w:p w14:paraId="224C05CA" w14:textId="77777777" w:rsidR="00B33F4A" w:rsidRPr="00D574EB" w:rsidRDefault="00D574EB">
            <w:pPr>
              <w:rPr>
                <w:strike/>
              </w:rPr>
            </w:pPr>
            <w:r w:rsidRPr="00D574EB">
              <w:rPr>
                <w:strike/>
              </w:rPr>
              <w:t xml:space="preserve">Les mesures de protection des troupeaux se fondent sur les mesures de protection raisonnables visées à l’art. 10quinqies, al. 1, </w:t>
            </w:r>
            <w:proofErr w:type="spellStart"/>
            <w:r w:rsidRPr="00D574EB">
              <w:rPr>
                <w:strike/>
              </w:rPr>
              <w:t>OChP</w:t>
            </w:r>
            <w:proofErr w:type="spellEnd"/>
            <w:r w:rsidRPr="00D574EB">
              <w:rPr>
                <w:strike/>
              </w:rPr>
              <w:t>.</w:t>
            </w:r>
          </w:p>
        </w:tc>
        <w:tc>
          <w:tcPr>
            <w:tcW w:w="5620" w:type="dxa"/>
          </w:tcPr>
          <w:p w14:paraId="5986D04D" w14:textId="77777777" w:rsidR="00B33F4A" w:rsidRPr="00187B9A" w:rsidRDefault="00F13D11">
            <w:r>
              <w:t>Par cohérence avec d’autres modifications demandées, le lien avec la chasse doit également être supprimé dans cet article.</w:t>
            </w:r>
          </w:p>
        </w:tc>
        <w:tc>
          <w:tcPr>
            <w:tcW w:w="532" w:type="dxa"/>
            <w:tcBorders>
              <w:top w:val="nil"/>
              <w:bottom w:val="nil"/>
              <w:right w:val="nil"/>
            </w:tcBorders>
            <w:shd w:val="clear" w:color="auto" w:fill="auto"/>
          </w:tcPr>
          <w:p w14:paraId="23F20379" w14:textId="77777777" w:rsidR="00B33F4A" w:rsidRPr="00187B9A" w:rsidRDefault="00B33F4A">
            <w:pPr>
              <w:rPr>
                <w:b/>
              </w:rPr>
            </w:pPr>
          </w:p>
        </w:tc>
      </w:tr>
      <w:tr w:rsidR="00B33F4A" w:rsidRPr="003F5D0C" w14:paraId="76D28A8B" w14:textId="77777777">
        <w:tc>
          <w:tcPr>
            <w:tcW w:w="2943" w:type="dxa"/>
          </w:tcPr>
          <w:p w14:paraId="2F79FE56" w14:textId="77777777" w:rsidR="00B33F4A" w:rsidRPr="00187B9A" w:rsidRDefault="00F13D11">
            <w:r>
              <w:t>Annexe 7, ch. 1.6.1, let. a</w:t>
            </w:r>
          </w:p>
        </w:tc>
        <w:tc>
          <w:tcPr>
            <w:tcW w:w="5529" w:type="dxa"/>
          </w:tcPr>
          <w:p w14:paraId="761EF90A" w14:textId="77777777" w:rsidR="00B33F4A" w:rsidRDefault="00F13D11">
            <w:r w:rsidRPr="00F13D11">
              <w:t>pour les moutons, excepté les brebis laitières,</w:t>
            </w:r>
            <w:r w:rsidR="00DB6FCC">
              <w:t xml:space="preserve"> </w:t>
            </w:r>
            <w:r w:rsidR="00DB6FCC">
              <w:rPr>
                <w:b/>
              </w:rPr>
              <w:t>et les chèvres</w:t>
            </w:r>
            <w:r w:rsidRPr="00F13D11">
              <w:t xml:space="preserve"> en cas de surveillance permanente par un berger ou dans le cas des pâturages tournants assortis de mesures de protection des troupeaux</w:t>
            </w:r>
          </w:p>
          <w:p w14:paraId="1D44DFA2" w14:textId="77777777" w:rsidR="00F13D11" w:rsidRPr="00F13D11" w:rsidRDefault="00F13D11">
            <w:r w:rsidRPr="00F13D11">
              <w:rPr>
                <w:strike/>
              </w:rPr>
              <w:t>600</w:t>
            </w:r>
            <w:r>
              <w:t xml:space="preserve"> </w:t>
            </w:r>
            <w:r>
              <w:rPr>
                <w:b/>
              </w:rPr>
              <w:t xml:space="preserve">720 </w:t>
            </w:r>
            <w:proofErr w:type="spellStart"/>
            <w:r>
              <w:t>fr.</w:t>
            </w:r>
            <w:proofErr w:type="spellEnd"/>
            <w:r>
              <w:t xml:space="preserve"> par PN</w:t>
            </w:r>
          </w:p>
        </w:tc>
        <w:tc>
          <w:tcPr>
            <w:tcW w:w="5620" w:type="dxa"/>
          </w:tcPr>
          <w:p w14:paraId="76440C03" w14:textId="77777777" w:rsidR="00DB6FCC" w:rsidRPr="00187B9A" w:rsidRDefault="00F13D11" w:rsidP="00DB6FCC">
            <w:r>
              <w:t>Par cohérence avec l’estimation faite dans le rapport explicatif d’un surcoût par PN de CHF 320.- lié à la présence des grands prédateurs, l’augmentation doit être de ce montant et non se limiter à CHF 200.-</w:t>
            </w:r>
            <w:r w:rsidR="00DB6FCC">
              <w:t>. De plus, le soutien ne doit pas se limiter aux moutons comme évoqué dans les remarques générales.</w:t>
            </w:r>
          </w:p>
        </w:tc>
        <w:tc>
          <w:tcPr>
            <w:tcW w:w="532" w:type="dxa"/>
            <w:tcBorders>
              <w:top w:val="nil"/>
              <w:bottom w:val="nil"/>
              <w:right w:val="nil"/>
            </w:tcBorders>
            <w:shd w:val="clear" w:color="auto" w:fill="auto"/>
          </w:tcPr>
          <w:p w14:paraId="2B8DB7D7" w14:textId="77777777" w:rsidR="00B33F4A" w:rsidRPr="00187B9A" w:rsidRDefault="00B33F4A">
            <w:pPr>
              <w:rPr>
                <w:b/>
              </w:rPr>
            </w:pPr>
          </w:p>
        </w:tc>
      </w:tr>
      <w:tr w:rsidR="00DB6FCC" w:rsidRPr="00D83091" w14:paraId="36166C72" w14:textId="77777777">
        <w:tc>
          <w:tcPr>
            <w:tcW w:w="2943" w:type="dxa"/>
          </w:tcPr>
          <w:p w14:paraId="0619F5BA" w14:textId="77777777" w:rsidR="00DB6FCC" w:rsidRPr="00DB6FCC" w:rsidRDefault="00DB6FCC" w:rsidP="00DB6FCC">
            <w:pPr>
              <w:rPr>
                <w:rFonts w:cs="Arial"/>
              </w:rPr>
            </w:pPr>
            <w:r w:rsidRPr="00DB6FCC">
              <w:rPr>
                <w:b/>
              </w:rPr>
              <w:t>Annexe 7, c</w:t>
            </w:r>
            <w:r>
              <w:rPr>
                <w:b/>
              </w:rPr>
              <w:t>h. 1.6.1, let. e</w:t>
            </w:r>
            <w:r w:rsidRPr="00DB6FCC">
              <w:t> (nouveau)</w:t>
            </w:r>
          </w:p>
        </w:tc>
        <w:tc>
          <w:tcPr>
            <w:tcW w:w="5529" w:type="dxa"/>
          </w:tcPr>
          <w:p w14:paraId="2CF4A488" w14:textId="77777777" w:rsidR="00DB6FCC" w:rsidRPr="00DB6FCC" w:rsidRDefault="00DB6FCC" w:rsidP="00DB6FCC">
            <w:pPr>
              <w:rPr>
                <w:rFonts w:ascii="Calibri" w:hAnsi="Calibri" w:cs="Calibri"/>
                <w:sz w:val="22"/>
                <w:szCs w:val="22"/>
                <w:lang w:eastAsia="en-US"/>
              </w:rPr>
            </w:pPr>
            <w:bookmarkStart w:id="5" w:name="_Hlk97628518"/>
            <w:r w:rsidRPr="00DB6FCC">
              <w:rPr>
                <w:b/>
                <w:bCs/>
              </w:rPr>
              <w:t>pour les autres animaux consommant du fourrage grossier et estivés dans des régions où la présence de meutes de loups est avérée ou dans une exploitation d’estivage ayant subi durant l’année une attaque de loups isolés : 600.- par PN</w:t>
            </w:r>
            <w:bookmarkEnd w:id="5"/>
          </w:p>
        </w:tc>
        <w:tc>
          <w:tcPr>
            <w:tcW w:w="5620" w:type="dxa"/>
          </w:tcPr>
          <w:p w14:paraId="4058C594" w14:textId="77777777" w:rsidR="00DB6FCC" w:rsidRPr="00DB6FCC" w:rsidRDefault="00DB6FCC" w:rsidP="00DB6FCC">
            <w:r>
              <w:t>Voir remarques générales.</w:t>
            </w:r>
            <w:r w:rsidRPr="00DB6FCC">
              <w:t xml:space="preserve"> </w:t>
            </w:r>
          </w:p>
        </w:tc>
        <w:tc>
          <w:tcPr>
            <w:tcW w:w="532" w:type="dxa"/>
            <w:tcBorders>
              <w:top w:val="nil"/>
              <w:bottom w:val="nil"/>
              <w:right w:val="nil"/>
            </w:tcBorders>
            <w:shd w:val="clear" w:color="auto" w:fill="auto"/>
          </w:tcPr>
          <w:p w14:paraId="28A0A63E" w14:textId="77777777" w:rsidR="00DB6FCC" w:rsidRPr="00187B9A" w:rsidRDefault="00DB6FCC" w:rsidP="00DB6FCC">
            <w:pPr>
              <w:rPr>
                <w:b/>
              </w:rPr>
            </w:pPr>
          </w:p>
        </w:tc>
      </w:tr>
      <w:tr w:rsidR="00B33F4A" w:rsidRPr="003F5D0C" w14:paraId="6CCA5B5D" w14:textId="77777777">
        <w:tc>
          <w:tcPr>
            <w:tcW w:w="2943" w:type="dxa"/>
          </w:tcPr>
          <w:p w14:paraId="154B15AD" w14:textId="77777777" w:rsidR="00B33F4A" w:rsidRPr="00187B9A" w:rsidRDefault="00F13D11">
            <w:r>
              <w:t>Annexe 8, ch. 3.7.6, let. b</w:t>
            </w:r>
          </w:p>
        </w:tc>
        <w:tc>
          <w:tcPr>
            <w:tcW w:w="5529" w:type="dxa"/>
          </w:tcPr>
          <w:p w14:paraId="7C8B5387" w14:textId="77777777" w:rsidR="00B33F4A" w:rsidRPr="00F13D11" w:rsidRDefault="00F13D11">
            <w:pPr>
              <w:rPr>
                <w:strike/>
              </w:rPr>
            </w:pPr>
            <w:r w:rsidRPr="00F13D11">
              <w:rPr>
                <w:strike/>
              </w:rPr>
              <w:t xml:space="preserve">Les mesures de protection des troupeaux ne sont pas fondées sur les mesures de protection raisonnables visées à l’art. 10quinqies, al. 1, </w:t>
            </w:r>
            <w:proofErr w:type="spellStart"/>
            <w:r w:rsidRPr="00F13D11">
              <w:rPr>
                <w:strike/>
              </w:rPr>
              <w:t>OChP</w:t>
            </w:r>
            <w:proofErr w:type="spellEnd"/>
            <w:r w:rsidRPr="00F13D11">
              <w:rPr>
                <w:strike/>
              </w:rPr>
              <w:t xml:space="preserve"> (annexe 2, ch. 4.2a.2)</w:t>
            </w:r>
          </w:p>
        </w:tc>
        <w:tc>
          <w:tcPr>
            <w:tcW w:w="5620" w:type="dxa"/>
          </w:tcPr>
          <w:p w14:paraId="08105F67" w14:textId="77777777" w:rsidR="00B33F4A" w:rsidRPr="00187B9A" w:rsidRDefault="00F13D11">
            <w:r>
              <w:t>Par cohérence avec d’autres modifications demandées, le lien avec la chasse doit également être supprimé dans cet article.</w:t>
            </w:r>
          </w:p>
        </w:tc>
        <w:tc>
          <w:tcPr>
            <w:tcW w:w="532" w:type="dxa"/>
            <w:tcBorders>
              <w:top w:val="nil"/>
              <w:bottom w:val="nil"/>
              <w:right w:val="nil"/>
            </w:tcBorders>
            <w:shd w:val="clear" w:color="auto" w:fill="auto"/>
          </w:tcPr>
          <w:p w14:paraId="7728A18B" w14:textId="77777777" w:rsidR="00B33F4A" w:rsidRPr="00187B9A" w:rsidRDefault="00B33F4A">
            <w:pPr>
              <w:rPr>
                <w:b/>
              </w:rPr>
            </w:pPr>
          </w:p>
        </w:tc>
      </w:tr>
      <w:tr w:rsidR="00B33F4A" w:rsidRPr="003F5D0C" w14:paraId="222712DB" w14:textId="77777777">
        <w:tc>
          <w:tcPr>
            <w:tcW w:w="2943" w:type="dxa"/>
          </w:tcPr>
          <w:p w14:paraId="2A1FE105" w14:textId="77777777" w:rsidR="00B33F4A" w:rsidRPr="00187B9A" w:rsidRDefault="00F13D11" w:rsidP="00F13D11">
            <w:r>
              <w:lastRenderedPageBreak/>
              <w:t>Annexe 8, ch. 3.7.6, let. c</w:t>
            </w:r>
          </w:p>
        </w:tc>
        <w:tc>
          <w:tcPr>
            <w:tcW w:w="5529" w:type="dxa"/>
          </w:tcPr>
          <w:p w14:paraId="24083564" w14:textId="77777777" w:rsidR="00B33F4A" w:rsidRPr="00F13D11" w:rsidRDefault="00F13D11">
            <w:pPr>
              <w:rPr>
                <w:strike/>
              </w:rPr>
            </w:pPr>
            <w:r w:rsidRPr="00F13D11">
              <w:rPr>
                <w:strike/>
              </w:rPr>
              <w:t>La charge en bétail effective est supérieure à une taille de troupeau de 300 moutons (art. 48, al. 2)</w:t>
            </w:r>
          </w:p>
        </w:tc>
        <w:tc>
          <w:tcPr>
            <w:tcW w:w="5620" w:type="dxa"/>
          </w:tcPr>
          <w:p w14:paraId="69F4F61F" w14:textId="77777777" w:rsidR="00B33F4A" w:rsidRPr="00187B9A" w:rsidRDefault="00F13D11" w:rsidP="00F13D11">
            <w:r>
              <w:t>Par cohérence avec le refus du plafond de 300 moutons, cette réduction doit être supprimée.</w:t>
            </w:r>
          </w:p>
        </w:tc>
        <w:tc>
          <w:tcPr>
            <w:tcW w:w="532" w:type="dxa"/>
            <w:tcBorders>
              <w:top w:val="nil"/>
              <w:bottom w:val="nil"/>
              <w:right w:val="nil"/>
            </w:tcBorders>
            <w:shd w:val="clear" w:color="auto" w:fill="auto"/>
          </w:tcPr>
          <w:p w14:paraId="7592F753" w14:textId="77777777" w:rsidR="00B33F4A" w:rsidRPr="00187B9A" w:rsidRDefault="00B33F4A">
            <w:pPr>
              <w:rPr>
                <w:b/>
              </w:rPr>
            </w:pPr>
          </w:p>
        </w:tc>
      </w:tr>
    </w:tbl>
    <w:p w14:paraId="500B1E05" w14:textId="77777777" w:rsidR="00B33F4A" w:rsidRPr="00187B9A" w:rsidRDefault="00B33F4A"/>
    <w:p w14:paraId="558B8413" w14:textId="77777777" w:rsidR="00B33F4A" w:rsidRPr="00E92E95" w:rsidRDefault="00B67434">
      <w:pPr>
        <w:pStyle w:val="Titre1"/>
      </w:pPr>
      <w:bookmarkStart w:id="6" w:name="_Toc93667893"/>
      <w:r w:rsidRPr="00863CAA">
        <w:lastRenderedPageBreak/>
        <w:t xml:space="preserve">BR 03 </w:t>
      </w:r>
      <w:proofErr w:type="spellStart"/>
      <w:r w:rsidR="00E92E95" w:rsidRPr="00863CAA">
        <w:t>Einzelkulturbeitragsverordnung</w:t>
      </w:r>
      <w:proofErr w:type="spellEnd"/>
      <w:r w:rsidR="00E92E95" w:rsidRPr="00863CAA">
        <w:t xml:space="preserve"> / Ordonnance sur les co</w:t>
      </w:r>
      <w:r w:rsidR="00E92E95" w:rsidRPr="00E92E95">
        <w:t xml:space="preserve">ntributions à des cultures particulières / </w:t>
      </w:r>
      <w:proofErr w:type="spellStart"/>
      <w:r w:rsidR="00E92E95" w:rsidRPr="00E92E95">
        <w:t>Ordinanza</w:t>
      </w:r>
      <w:proofErr w:type="spellEnd"/>
      <w:r w:rsidR="00E92E95" w:rsidRPr="00E92E95">
        <w:t xml:space="preserve"> sui </w:t>
      </w:r>
      <w:proofErr w:type="spellStart"/>
      <w:r w:rsidR="00E92E95" w:rsidRPr="00E92E95">
        <w:t>contributi</w:t>
      </w:r>
      <w:proofErr w:type="spellEnd"/>
      <w:r w:rsidR="00E92E95" w:rsidRPr="00E92E95">
        <w:t xml:space="preserve"> per </w:t>
      </w:r>
      <w:proofErr w:type="spellStart"/>
      <w:r w:rsidR="00E92E95" w:rsidRPr="00E92E95">
        <w:t>singole</w:t>
      </w:r>
      <w:proofErr w:type="spellEnd"/>
      <w:r w:rsidR="00E92E95" w:rsidRPr="00E92E95">
        <w:t xml:space="preserve"> </w:t>
      </w:r>
      <w:proofErr w:type="spellStart"/>
      <w:r w:rsidR="00E92E95" w:rsidRPr="00E92E95">
        <w:t>colture</w:t>
      </w:r>
      <w:proofErr w:type="spellEnd"/>
      <w:r w:rsidR="00E92E95" w:rsidRPr="00E92E95">
        <w:t xml:space="preserve"> (910.17)</w:t>
      </w:r>
      <w:bookmarkEnd w:id="6"/>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57B075D8" w14:textId="77777777">
        <w:trPr>
          <w:tblHeader/>
        </w:trPr>
        <w:tc>
          <w:tcPr>
            <w:tcW w:w="14092" w:type="dxa"/>
            <w:tcBorders>
              <w:top w:val="single" w:sz="4" w:space="0" w:color="auto"/>
              <w:left w:val="single" w:sz="4" w:space="0" w:color="auto"/>
              <w:bottom w:val="nil"/>
              <w:right w:val="single" w:sz="4" w:space="0" w:color="auto"/>
            </w:tcBorders>
          </w:tcPr>
          <w:p w14:paraId="6456BA12"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6E2D3754" w14:textId="77777777" w:rsidR="00B33F4A" w:rsidRDefault="00B33F4A">
            <w:pPr>
              <w:pStyle w:val="Betreff"/>
              <w:widowControl/>
              <w:spacing w:before="0" w:after="0" w:line="240" w:lineRule="auto"/>
            </w:pPr>
          </w:p>
        </w:tc>
      </w:tr>
      <w:tr w:rsidR="00B33F4A" w:rsidRPr="003F5D0C" w14:paraId="5C81B2A7"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27A5C1B4" w14:textId="3E018D7E" w:rsidR="00B33F4A" w:rsidRPr="00F13D11" w:rsidRDefault="00F13D11" w:rsidP="00CB324C">
            <w:r w:rsidRPr="00F13D11">
              <w:t>AGORA salue l’introduction de cultures supplémentaires donna</w:t>
            </w:r>
            <w:r w:rsidR="003F5D0C">
              <w:t>n</w:t>
            </w:r>
            <w:r w:rsidRPr="00F13D11">
              <w:t xml:space="preserve">t droit à la contribution mais souhaite </w:t>
            </w:r>
            <w:r w:rsidR="00CB324C">
              <w:t xml:space="preserve">que cette proposition soit également </w:t>
            </w:r>
            <w:proofErr w:type="gramStart"/>
            <w:r w:rsidR="00CB324C">
              <w:t xml:space="preserve">élargie </w:t>
            </w:r>
            <w:r w:rsidR="00706E50">
              <w:t xml:space="preserve"> aux</w:t>
            </w:r>
            <w:proofErr w:type="gramEnd"/>
            <w:r w:rsidR="00706E50">
              <w:t xml:space="preserve"> cultures de niche pour l’alimentation humaine. De plus, il sera important que l’enveloppe budgétaire soit augmentée afin que la contribution actuelle pour les cultures particulières déjà soutenue ne soit pas diminuée. </w:t>
            </w:r>
          </w:p>
        </w:tc>
        <w:tc>
          <w:tcPr>
            <w:tcW w:w="532" w:type="dxa"/>
            <w:tcBorders>
              <w:top w:val="nil"/>
              <w:left w:val="single" w:sz="4" w:space="0" w:color="auto"/>
              <w:bottom w:val="nil"/>
              <w:right w:val="nil"/>
            </w:tcBorders>
            <w:shd w:val="clear" w:color="auto" w:fill="auto"/>
          </w:tcPr>
          <w:p w14:paraId="1D04CEE4" w14:textId="77777777" w:rsidR="00B33F4A" w:rsidRPr="00F13D11" w:rsidRDefault="00B33F4A">
            <w:pPr>
              <w:rPr>
                <w:b/>
              </w:rPr>
            </w:pPr>
          </w:p>
        </w:tc>
      </w:tr>
    </w:tbl>
    <w:p w14:paraId="76AFA8DA" w14:textId="77777777" w:rsidR="00B33F4A" w:rsidRPr="00F13D11"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5B0C9068" w14:textId="77777777">
        <w:trPr>
          <w:tblHeader/>
        </w:trPr>
        <w:tc>
          <w:tcPr>
            <w:tcW w:w="2943" w:type="dxa"/>
          </w:tcPr>
          <w:p w14:paraId="4BED9A85"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54DCCBC" w14:textId="77777777" w:rsidR="00B33F4A" w:rsidRDefault="00B67434">
            <w:pPr>
              <w:spacing w:after="0"/>
              <w:rPr>
                <w:b/>
              </w:rPr>
            </w:pPr>
            <w:proofErr w:type="spellStart"/>
            <w:r w:rsidRPr="00706E50">
              <w:rPr>
                <w:b/>
              </w:rPr>
              <w:t>Antrag</w:t>
            </w:r>
            <w:proofErr w:type="spellEnd"/>
            <w:r w:rsidRPr="00706E50">
              <w:rPr>
                <w:b/>
              </w:rPr>
              <w:br/>
              <w:t>Proposition</w:t>
            </w:r>
            <w:r w:rsidRPr="00706E50">
              <w:rPr>
                <w:b/>
              </w:rPr>
              <w:br/>
            </w:r>
            <w:proofErr w:type="spellStart"/>
            <w:r w:rsidRPr="00706E50">
              <w:rPr>
                <w:b/>
              </w:rPr>
              <w:t>Rich</w:t>
            </w:r>
            <w:r>
              <w:rPr>
                <w:b/>
              </w:rPr>
              <w:t>iesta</w:t>
            </w:r>
            <w:proofErr w:type="spellEnd"/>
          </w:p>
        </w:tc>
        <w:tc>
          <w:tcPr>
            <w:tcW w:w="5620" w:type="dxa"/>
          </w:tcPr>
          <w:p w14:paraId="44B44221"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5259D350" w14:textId="77777777" w:rsidR="00B33F4A" w:rsidRPr="007132B1" w:rsidRDefault="00B33F4A">
            <w:pPr>
              <w:widowControl/>
              <w:spacing w:after="0" w:line="240" w:lineRule="auto"/>
              <w:rPr>
                <w:b/>
                <w:lang w:val="de-CH"/>
              </w:rPr>
            </w:pPr>
          </w:p>
        </w:tc>
      </w:tr>
      <w:tr w:rsidR="00B33F4A" w:rsidRPr="00706E50" w14:paraId="690EB5C0" w14:textId="77777777">
        <w:tc>
          <w:tcPr>
            <w:tcW w:w="2943" w:type="dxa"/>
          </w:tcPr>
          <w:p w14:paraId="0C0CD8A6" w14:textId="77777777" w:rsidR="00B33F4A" w:rsidRPr="00D83091" w:rsidRDefault="00706E50" w:rsidP="00D83091">
            <w:pPr>
              <w:pStyle w:val="Anhang"/>
              <w:tabs>
                <w:tab w:val="clear" w:pos="1276"/>
              </w:tabs>
              <w:spacing w:before="0" w:after="260"/>
              <w:outlineLvl w:val="9"/>
              <w:rPr>
                <w:lang w:val="fr-CH" w:eastAsia="de-CH"/>
              </w:rPr>
            </w:pPr>
            <w:r w:rsidRPr="00D83091">
              <w:rPr>
                <w:lang w:val="fr-CH" w:eastAsia="de-CH"/>
              </w:rPr>
              <w:t xml:space="preserve">Art. 1, al. 1, let. </w:t>
            </w:r>
            <w:r w:rsidR="00D83091" w:rsidRPr="00D83091">
              <w:rPr>
                <w:lang w:val="fr-CH" w:eastAsia="de-CH"/>
              </w:rPr>
              <w:t>d</w:t>
            </w:r>
          </w:p>
        </w:tc>
        <w:tc>
          <w:tcPr>
            <w:tcW w:w="5529" w:type="dxa"/>
          </w:tcPr>
          <w:p w14:paraId="63E01D3D" w14:textId="616D8344" w:rsidR="00B33F4A" w:rsidRPr="00D83091" w:rsidRDefault="00D83091" w:rsidP="000408E5">
            <w:pPr>
              <w:rPr>
                <w:b/>
              </w:rPr>
            </w:pPr>
            <w:r>
              <w:rPr>
                <w:b/>
              </w:rPr>
              <w:t xml:space="preserve">cultures de niche pour l’alimentation humaine : avoine alimentaire, sarrasin, millet, chia, amarante, riz, quinoa, féverole, </w:t>
            </w:r>
            <w:r w:rsidRPr="00D83091">
              <w:t xml:space="preserve">haricots, pois, lupins et </w:t>
            </w:r>
            <w:proofErr w:type="gramStart"/>
            <w:r w:rsidRPr="00D83091">
              <w:t>lentilles;</w:t>
            </w:r>
            <w:proofErr w:type="gramEnd"/>
          </w:p>
        </w:tc>
        <w:tc>
          <w:tcPr>
            <w:tcW w:w="5620" w:type="dxa"/>
          </w:tcPr>
          <w:p w14:paraId="27CE8B32" w14:textId="77777777" w:rsidR="00B33F4A" w:rsidRPr="00706E50" w:rsidRDefault="00706E50">
            <w:r>
              <w:t>Voir remarques générales</w:t>
            </w:r>
          </w:p>
        </w:tc>
        <w:tc>
          <w:tcPr>
            <w:tcW w:w="532" w:type="dxa"/>
            <w:tcBorders>
              <w:top w:val="nil"/>
              <w:bottom w:val="nil"/>
              <w:right w:val="nil"/>
            </w:tcBorders>
            <w:shd w:val="clear" w:color="auto" w:fill="auto"/>
          </w:tcPr>
          <w:p w14:paraId="39BED56E" w14:textId="77777777" w:rsidR="00B33F4A" w:rsidRPr="00706E50" w:rsidRDefault="00B33F4A">
            <w:pPr>
              <w:rPr>
                <w:b/>
              </w:rPr>
            </w:pPr>
          </w:p>
        </w:tc>
      </w:tr>
      <w:tr w:rsidR="00706E50" w:rsidRPr="003F5D0C" w14:paraId="333E7E24" w14:textId="77777777">
        <w:tc>
          <w:tcPr>
            <w:tcW w:w="2943" w:type="dxa"/>
          </w:tcPr>
          <w:p w14:paraId="745F69F4" w14:textId="77777777" w:rsidR="00706E50" w:rsidRPr="00D83091" w:rsidRDefault="00706E50" w:rsidP="00D83091">
            <w:pPr>
              <w:pStyle w:val="Anhang"/>
              <w:tabs>
                <w:tab w:val="clear" w:pos="1276"/>
              </w:tabs>
              <w:spacing w:before="0" w:after="260"/>
              <w:outlineLvl w:val="9"/>
              <w:rPr>
                <w:lang w:val="fr-CH" w:eastAsia="de-CH"/>
              </w:rPr>
            </w:pPr>
            <w:r w:rsidRPr="00D83091">
              <w:rPr>
                <w:lang w:val="fr-CH" w:eastAsia="de-CH"/>
              </w:rPr>
              <w:t xml:space="preserve">Art. 1, al. </w:t>
            </w:r>
            <w:r w:rsidR="00D83091" w:rsidRPr="00D83091">
              <w:rPr>
                <w:lang w:val="fr-CH" w:eastAsia="de-CH"/>
              </w:rPr>
              <w:t>3</w:t>
            </w:r>
            <w:r w:rsidRPr="00D83091">
              <w:rPr>
                <w:lang w:val="fr-CH" w:eastAsia="de-CH"/>
              </w:rPr>
              <w:t xml:space="preserve">, let. </w:t>
            </w:r>
            <w:r w:rsidR="00D83091" w:rsidRPr="00D83091">
              <w:rPr>
                <w:lang w:val="fr-CH" w:eastAsia="de-CH"/>
              </w:rPr>
              <w:t>c</w:t>
            </w:r>
          </w:p>
        </w:tc>
        <w:tc>
          <w:tcPr>
            <w:tcW w:w="5529" w:type="dxa"/>
          </w:tcPr>
          <w:p w14:paraId="0B70A25D" w14:textId="4151B626" w:rsidR="00706E50" w:rsidRPr="00D83091" w:rsidRDefault="00D83091" w:rsidP="000408E5">
            <w:pPr>
              <w:rPr>
                <w:b/>
              </w:rPr>
            </w:pPr>
            <w:r w:rsidRPr="00D83091">
              <w:t>les surfaces affectées aux cultures de colza, tournesol, courges à huile, lin oléagineux, pavot, carthame des teinturiers, soja,</w:t>
            </w:r>
            <w:r>
              <w:rPr>
                <w:b/>
              </w:rPr>
              <w:t xml:space="preserve"> avoine alimentaire, sarrasin, millet, chia, amarante, riz, quinoa, féverole,</w:t>
            </w:r>
            <w:r w:rsidRPr="00D83091">
              <w:t xml:space="preserve"> haricots, pois, lupins et lentilles, qui sont récoltées avant la maturité pour le battage ou</w:t>
            </w:r>
            <w:r w:rsidR="00AF5277">
              <w:t xml:space="preserve"> </w:t>
            </w:r>
            <w:r w:rsidR="00AF5277">
              <w:rPr>
                <w:b/>
              </w:rPr>
              <w:t>qui ne sont pas récoltés</w:t>
            </w:r>
            <w:r w:rsidRPr="00D83091">
              <w:t xml:space="preserve"> </w:t>
            </w:r>
            <w:r w:rsidRPr="00AF5277">
              <w:rPr>
                <w:strike/>
              </w:rPr>
              <w:t>non</w:t>
            </w:r>
            <w:r w:rsidRPr="00D83091">
              <w:t xml:space="preserve"> pour les graines;</w:t>
            </w:r>
          </w:p>
        </w:tc>
        <w:tc>
          <w:tcPr>
            <w:tcW w:w="5620" w:type="dxa"/>
          </w:tcPr>
          <w:p w14:paraId="7B1192D6" w14:textId="77777777" w:rsidR="00706E50" w:rsidRPr="00706E50" w:rsidRDefault="00AF5277" w:rsidP="00AF5277">
            <w:r>
              <w:t>En plus d’élargir la liste des cultures concernées, nous proposons de revoir la formulation actuellement peu claire concernant les cultures non récoltées pour les graines.</w:t>
            </w:r>
          </w:p>
        </w:tc>
        <w:tc>
          <w:tcPr>
            <w:tcW w:w="532" w:type="dxa"/>
            <w:tcBorders>
              <w:top w:val="nil"/>
              <w:bottom w:val="nil"/>
              <w:right w:val="nil"/>
            </w:tcBorders>
            <w:shd w:val="clear" w:color="auto" w:fill="auto"/>
          </w:tcPr>
          <w:p w14:paraId="6C3B1FC3" w14:textId="77777777" w:rsidR="00706E50" w:rsidRPr="00706E50" w:rsidRDefault="00706E50" w:rsidP="00706E50">
            <w:pPr>
              <w:rPr>
                <w:b/>
              </w:rPr>
            </w:pPr>
          </w:p>
        </w:tc>
      </w:tr>
      <w:tr w:rsidR="007C3226" w:rsidRPr="00706E50" w14:paraId="02ED80FD" w14:textId="77777777">
        <w:tc>
          <w:tcPr>
            <w:tcW w:w="2943" w:type="dxa"/>
          </w:tcPr>
          <w:p w14:paraId="59D504FA" w14:textId="2313F8A9" w:rsidR="007C3226" w:rsidRPr="00706E50" w:rsidRDefault="007C3226">
            <w:r>
              <w:t>Art.2, let. b</w:t>
            </w:r>
          </w:p>
        </w:tc>
        <w:tc>
          <w:tcPr>
            <w:tcW w:w="5529" w:type="dxa"/>
          </w:tcPr>
          <w:p w14:paraId="5C2CC6E8" w14:textId="4672E415" w:rsidR="007C3226" w:rsidRPr="007C3226" w:rsidRDefault="007C3226" w:rsidP="000408E5">
            <w:pPr>
              <w:rPr>
                <w:rFonts w:cs="Arial"/>
                <w:b/>
              </w:rPr>
            </w:pPr>
            <w:r w:rsidRPr="007C3226">
              <w:rPr>
                <w:rFonts w:cs="Arial"/>
                <w:shd w:val="clear" w:color="auto" w:fill="FFFFFF"/>
              </w:rPr>
              <w:t xml:space="preserve">Pour les plants de pommes de terre et les semences de </w:t>
            </w:r>
            <w:proofErr w:type="gramStart"/>
            <w:r w:rsidRPr="007C3226">
              <w:rPr>
                <w:rFonts w:cs="Arial"/>
                <w:shd w:val="clear" w:color="auto" w:fill="FFFFFF"/>
              </w:rPr>
              <w:t>maïs:</w:t>
            </w:r>
            <w:proofErr w:type="gramEnd"/>
            <w:r w:rsidRPr="007C3226">
              <w:rPr>
                <w:rFonts w:cs="Arial"/>
                <w:shd w:val="clear" w:color="auto" w:fill="FFFFFF"/>
              </w:rPr>
              <w:t xml:space="preserve"> </w:t>
            </w:r>
            <w:r w:rsidRPr="007C3226">
              <w:rPr>
                <w:rFonts w:cs="Arial"/>
                <w:strike/>
                <w:shd w:val="clear" w:color="auto" w:fill="FFFFFF"/>
              </w:rPr>
              <w:t>700</w:t>
            </w:r>
            <w:r w:rsidRPr="007C3226">
              <w:rPr>
                <w:rFonts w:cs="Arial"/>
                <w:shd w:val="clear" w:color="auto" w:fill="FFFFFF"/>
              </w:rPr>
              <w:t xml:space="preserve"> </w:t>
            </w:r>
            <w:r>
              <w:rPr>
                <w:rFonts w:cs="Arial"/>
                <w:b/>
                <w:shd w:val="clear" w:color="auto" w:fill="FFFFFF"/>
              </w:rPr>
              <w:t>1500</w:t>
            </w:r>
          </w:p>
        </w:tc>
        <w:tc>
          <w:tcPr>
            <w:tcW w:w="5620" w:type="dxa"/>
            <w:vMerge w:val="restart"/>
          </w:tcPr>
          <w:p w14:paraId="3CD79530" w14:textId="517EB711" w:rsidR="007C3226" w:rsidRPr="007C3226" w:rsidRDefault="007C3226" w:rsidP="007C3226">
            <w:pPr>
              <w:pStyle w:val="Default"/>
              <w:spacing w:after="260" w:line="260" w:lineRule="atLeast"/>
              <w:rPr>
                <w:sz w:val="20"/>
              </w:rPr>
            </w:pPr>
            <w:r>
              <w:rPr>
                <w:sz w:val="20"/>
                <w:szCs w:val="20"/>
              </w:rPr>
              <w:t xml:space="preserve">Au niveau mondial la production de semences de maïs se concentre dans les mains d’opérateurs de plus en plus rares. Mais compte tenu de la situation politique mondiale, il serait périlleux d’abandonner la production indigène. Le soutien actuel de CHF 700.-/ha est clairement insuffisant et trop peu incitatif pour maintenir le savoir-faire technique spécifique. Les établissements multiplicateurs peinent progressivement à trouver des producteurs de plants de pommes de terre en nombre suffisant. De plus, en ce qui concerne la production de semences fourragères, la sélection suisse atteint une qualité exceptionnelle et est reconnue internationalement. Le </w:t>
            </w:r>
            <w:r>
              <w:rPr>
                <w:sz w:val="20"/>
                <w:szCs w:val="20"/>
              </w:rPr>
              <w:lastRenderedPageBreak/>
              <w:t xml:space="preserve">déclin des multiplications indigènes de ces espèces donnerait un signal très négatif à cette activité de sélection. Il s’agit là-aussi de revoir la prime à la hausse. </w:t>
            </w:r>
          </w:p>
        </w:tc>
        <w:tc>
          <w:tcPr>
            <w:tcW w:w="532" w:type="dxa"/>
            <w:tcBorders>
              <w:top w:val="nil"/>
              <w:bottom w:val="nil"/>
              <w:right w:val="nil"/>
            </w:tcBorders>
            <w:shd w:val="clear" w:color="auto" w:fill="auto"/>
          </w:tcPr>
          <w:p w14:paraId="35832349" w14:textId="77777777" w:rsidR="007C3226" w:rsidRPr="00706E50" w:rsidRDefault="007C3226">
            <w:pPr>
              <w:rPr>
                <w:b/>
              </w:rPr>
            </w:pPr>
          </w:p>
        </w:tc>
      </w:tr>
      <w:tr w:rsidR="007C3226" w:rsidRPr="00706E50" w14:paraId="59522C71" w14:textId="77777777">
        <w:tc>
          <w:tcPr>
            <w:tcW w:w="2943" w:type="dxa"/>
          </w:tcPr>
          <w:p w14:paraId="0421310B" w14:textId="50372876" w:rsidR="007C3226" w:rsidRPr="00706E50" w:rsidRDefault="007C3226">
            <w:r>
              <w:t>Art. 2, let. c</w:t>
            </w:r>
          </w:p>
        </w:tc>
        <w:tc>
          <w:tcPr>
            <w:tcW w:w="5529" w:type="dxa"/>
          </w:tcPr>
          <w:p w14:paraId="08631DC9" w14:textId="161F7CD4" w:rsidR="007C3226" w:rsidRPr="007C3226" w:rsidRDefault="007C3226" w:rsidP="000408E5">
            <w:pPr>
              <w:rPr>
                <w:rFonts w:cs="Arial"/>
              </w:rPr>
            </w:pPr>
            <w:r w:rsidRPr="007C3226">
              <w:rPr>
                <w:rFonts w:cs="Arial"/>
                <w:shd w:val="clear" w:color="auto" w:fill="FFFFFF"/>
              </w:rPr>
              <w:t xml:space="preserve">pour les semences de graminées fourragères et de légumineuses </w:t>
            </w:r>
            <w:proofErr w:type="gramStart"/>
            <w:r w:rsidRPr="007C3226">
              <w:rPr>
                <w:rFonts w:cs="Arial"/>
                <w:shd w:val="clear" w:color="auto" w:fill="FFFFFF"/>
              </w:rPr>
              <w:t>fourragères:</w:t>
            </w:r>
            <w:proofErr w:type="gramEnd"/>
            <w:r w:rsidRPr="007C3226">
              <w:rPr>
                <w:rFonts w:cs="Arial"/>
                <w:shd w:val="clear" w:color="auto" w:fill="FFFFFF"/>
              </w:rPr>
              <w:t xml:space="preserve"> </w:t>
            </w:r>
            <w:r w:rsidRPr="007C3226">
              <w:rPr>
                <w:rFonts w:cs="Arial"/>
                <w:strike/>
                <w:shd w:val="clear" w:color="auto" w:fill="FFFFFF"/>
              </w:rPr>
              <w:t>1000</w:t>
            </w:r>
            <w:r w:rsidRPr="007C3226">
              <w:rPr>
                <w:rFonts w:cs="Arial"/>
                <w:shd w:val="clear" w:color="auto" w:fill="FFFFFF"/>
              </w:rPr>
              <w:t xml:space="preserve"> </w:t>
            </w:r>
            <w:r w:rsidRPr="007C3226">
              <w:rPr>
                <w:rFonts w:cs="Arial"/>
                <w:b/>
                <w:shd w:val="clear" w:color="auto" w:fill="FFFFFF"/>
              </w:rPr>
              <w:t>1500</w:t>
            </w:r>
          </w:p>
        </w:tc>
        <w:tc>
          <w:tcPr>
            <w:tcW w:w="5620" w:type="dxa"/>
            <w:vMerge/>
          </w:tcPr>
          <w:p w14:paraId="5D7A50A1" w14:textId="77777777" w:rsidR="007C3226" w:rsidRDefault="007C3226"/>
        </w:tc>
        <w:tc>
          <w:tcPr>
            <w:tcW w:w="532" w:type="dxa"/>
            <w:tcBorders>
              <w:top w:val="nil"/>
              <w:bottom w:val="nil"/>
              <w:right w:val="nil"/>
            </w:tcBorders>
            <w:shd w:val="clear" w:color="auto" w:fill="auto"/>
          </w:tcPr>
          <w:p w14:paraId="38741B90" w14:textId="77777777" w:rsidR="007C3226" w:rsidRPr="00706E50" w:rsidRDefault="007C3226">
            <w:pPr>
              <w:rPr>
                <w:b/>
              </w:rPr>
            </w:pPr>
          </w:p>
        </w:tc>
      </w:tr>
      <w:tr w:rsidR="00B33F4A" w:rsidRPr="00706E50" w14:paraId="1A23DBB9" w14:textId="77777777">
        <w:tc>
          <w:tcPr>
            <w:tcW w:w="2943" w:type="dxa"/>
          </w:tcPr>
          <w:p w14:paraId="7F7A001E" w14:textId="77777777" w:rsidR="00B33F4A" w:rsidRPr="00706E50" w:rsidRDefault="00706E50">
            <w:r w:rsidRPr="00706E50">
              <w:t xml:space="preserve">Art. </w:t>
            </w:r>
            <w:r>
              <w:t>2, let. e</w:t>
            </w:r>
          </w:p>
        </w:tc>
        <w:tc>
          <w:tcPr>
            <w:tcW w:w="5529" w:type="dxa"/>
          </w:tcPr>
          <w:p w14:paraId="06638553" w14:textId="76C59F9A" w:rsidR="00B33F4A" w:rsidRPr="00706E50" w:rsidRDefault="00706E50" w:rsidP="000408E5">
            <w:r w:rsidRPr="00706E50">
              <w:t xml:space="preserve">pour </w:t>
            </w:r>
            <w:r w:rsidR="00AF5277">
              <w:rPr>
                <w:b/>
              </w:rPr>
              <w:t>l’avoine alimentaire, le sarrasin, le millet, le chia, l’amarante, le riz, le quinoa, la féverole,</w:t>
            </w:r>
            <w:r w:rsidR="00AF5277" w:rsidRPr="00706E50">
              <w:t xml:space="preserve"> </w:t>
            </w:r>
            <w:r w:rsidRPr="00706E50">
              <w:t>les haricots, les pois, les lupins</w:t>
            </w:r>
            <w:r w:rsidR="00AF5277">
              <w:t xml:space="preserve"> </w:t>
            </w:r>
            <w:r w:rsidRPr="00AF5277">
              <w:t>et</w:t>
            </w:r>
            <w:r w:rsidRPr="00706E50">
              <w:t xml:space="preserve"> les lentilles</w:t>
            </w:r>
            <w:r>
              <w:rPr>
                <w:b/>
              </w:rPr>
              <w:t xml:space="preserve">, </w:t>
            </w:r>
            <w:r w:rsidRPr="00706E50">
              <w:t>ainsi que pour les mélanges visés à l’art. 6b, al. 2:</w:t>
            </w:r>
            <w:r>
              <w:t xml:space="preserve"> 1000</w:t>
            </w:r>
          </w:p>
        </w:tc>
        <w:tc>
          <w:tcPr>
            <w:tcW w:w="5620" w:type="dxa"/>
          </w:tcPr>
          <w:p w14:paraId="32FE6F89" w14:textId="77777777" w:rsidR="00B33F4A" w:rsidRPr="00706E50" w:rsidRDefault="00706E50">
            <w:r>
              <w:t>Voir remarques générales</w:t>
            </w:r>
          </w:p>
        </w:tc>
        <w:tc>
          <w:tcPr>
            <w:tcW w:w="532" w:type="dxa"/>
            <w:tcBorders>
              <w:top w:val="nil"/>
              <w:bottom w:val="nil"/>
              <w:right w:val="nil"/>
            </w:tcBorders>
            <w:shd w:val="clear" w:color="auto" w:fill="auto"/>
          </w:tcPr>
          <w:p w14:paraId="66099EF4" w14:textId="77777777" w:rsidR="00B33F4A" w:rsidRPr="00706E50" w:rsidRDefault="00B33F4A">
            <w:pPr>
              <w:rPr>
                <w:b/>
              </w:rPr>
            </w:pPr>
          </w:p>
        </w:tc>
      </w:tr>
      <w:tr w:rsidR="00B33F4A" w:rsidRPr="003F5D0C" w14:paraId="2669E8BC" w14:textId="77777777">
        <w:tc>
          <w:tcPr>
            <w:tcW w:w="2943" w:type="dxa"/>
          </w:tcPr>
          <w:p w14:paraId="6CB0FCF4" w14:textId="77777777" w:rsidR="00B33F4A" w:rsidRPr="00706E50" w:rsidRDefault="00706E50">
            <w:r w:rsidRPr="00706E50">
              <w:t xml:space="preserve">Art. </w:t>
            </w:r>
            <w:r>
              <w:t>6b, al. 2</w:t>
            </w:r>
          </w:p>
        </w:tc>
        <w:tc>
          <w:tcPr>
            <w:tcW w:w="5529" w:type="dxa"/>
          </w:tcPr>
          <w:p w14:paraId="5CE5180C" w14:textId="77777777" w:rsidR="00B33F4A" w:rsidRPr="00706E50" w:rsidRDefault="00706E50">
            <w:r w:rsidRPr="00706E50">
              <w:t xml:space="preserve">L’octroi de la contribution pour les mélanges de haricots, de pois, de lupins et de lentilles avec </w:t>
            </w:r>
            <w:r w:rsidRPr="00706E50">
              <w:rPr>
                <w:strike/>
              </w:rPr>
              <w:t>des céréales</w:t>
            </w:r>
            <w:r w:rsidRPr="00706E50">
              <w:t xml:space="preserve"> </w:t>
            </w:r>
            <w:r>
              <w:rPr>
                <w:b/>
              </w:rPr>
              <w:t xml:space="preserve">d’autres cultures </w:t>
            </w:r>
            <w:r w:rsidRPr="00706E50">
              <w:t>est lié à la condition que la</w:t>
            </w:r>
            <w:r>
              <w:t xml:space="preserve"> part en poids des cultures don</w:t>
            </w:r>
            <w:r w:rsidRPr="00706E50">
              <w:t>nant droit aux contributions représente au moins 30 % du produit de la récolte.</w:t>
            </w:r>
          </w:p>
        </w:tc>
        <w:tc>
          <w:tcPr>
            <w:tcW w:w="5620" w:type="dxa"/>
          </w:tcPr>
          <w:p w14:paraId="5BD8647E" w14:textId="77777777" w:rsidR="00B33F4A" w:rsidRPr="00706E50" w:rsidRDefault="00706E50">
            <w:r>
              <w:t>Nous demandons à ce que la contribution pour les cultures associées ne se limite pas aux céréales afin de tenir compte des essais effectués par la recherche agronomique.</w:t>
            </w:r>
          </w:p>
        </w:tc>
        <w:tc>
          <w:tcPr>
            <w:tcW w:w="532" w:type="dxa"/>
            <w:tcBorders>
              <w:top w:val="nil"/>
              <w:bottom w:val="nil"/>
              <w:right w:val="nil"/>
            </w:tcBorders>
            <w:shd w:val="clear" w:color="auto" w:fill="auto"/>
          </w:tcPr>
          <w:p w14:paraId="17941157" w14:textId="77777777" w:rsidR="00B33F4A" w:rsidRPr="00706E50" w:rsidRDefault="00B33F4A">
            <w:pPr>
              <w:rPr>
                <w:b/>
              </w:rPr>
            </w:pPr>
          </w:p>
        </w:tc>
      </w:tr>
    </w:tbl>
    <w:p w14:paraId="48123BA1" w14:textId="77777777" w:rsidR="00B33F4A" w:rsidRPr="00706E50" w:rsidRDefault="00B67434">
      <w:pPr>
        <w:pStyle w:val="Titre1"/>
      </w:pPr>
      <w:bookmarkStart w:id="7" w:name="_Toc93667894"/>
      <w:r w:rsidRPr="00706E50">
        <w:lastRenderedPageBreak/>
        <w:t xml:space="preserve">BR 04 </w:t>
      </w:r>
      <w:proofErr w:type="spellStart"/>
      <w:r w:rsidR="00E92E95" w:rsidRPr="00706E50">
        <w:t>Verordnung</w:t>
      </w:r>
      <w:proofErr w:type="spellEnd"/>
      <w:r w:rsidR="00E92E95" w:rsidRPr="00706E50">
        <w:t xml:space="preserve"> </w:t>
      </w:r>
      <w:proofErr w:type="spellStart"/>
      <w:r w:rsidR="00E92E95" w:rsidRPr="00706E50">
        <w:t>über</w:t>
      </w:r>
      <w:proofErr w:type="spellEnd"/>
      <w:r w:rsidR="00E92E95" w:rsidRPr="00706E50">
        <w:t xml:space="preserve"> die </w:t>
      </w:r>
      <w:proofErr w:type="spellStart"/>
      <w:r w:rsidR="00E92E95" w:rsidRPr="00706E50">
        <w:t>Koordination</w:t>
      </w:r>
      <w:proofErr w:type="spellEnd"/>
      <w:r w:rsidR="00E92E95" w:rsidRPr="00706E50">
        <w:t xml:space="preserve"> der </w:t>
      </w:r>
      <w:proofErr w:type="spellStart"/>
      <w:r w:rsidR="00E92E95" w:rsidRPr="00706E50">
        <w:t>Kontrollen</w:t>
      </w:r>
      <w:proofErr w:type="spellEnd"/>
      <w:r w:rsidR="00E92E95" w:rsidRPr="00706E50">
        <w:t xml:space="preserve"> </w:t>
      </w:r>
      <w:proofErr w:type="spellStart"/>
      <w:r w:rsidR="00E92E95" w:rsidRPr="00706E50">
        <w:t>auf</w:t>
      </w:r>
      <w:proofErr w:type="spellEnd"/>
      <w:r w:rsidR="00E92E95" w:rsidRPr="00706E50">
        <w:t xml:space="preserve"> </w:t>
      </w:r>
      <w:proofErr w:type="spellStart"/>
      <w:r w:rsidR="00E92E95" w:rsidRPr="00706E50">
        <w:t>Landwirtschaftsbetrieben</w:t>
      </w:r>
      <w:proofErr w:type="spellEnd"/>
      <w:r w:rsidR="00E92E95" w:rsidRPr="00706E50">
        <w:t xml:space="preserve"> / Ordonnance sur la coordination des contrôles dans les exploitations agricoles / </w:t>
      </w:r>
      <w:proofErr w:type="spellStart"/>
      <w:r w:rsidR="00E92E95" w:rsidRPr="00706E50">
        <w:t>Ordinanza</w:t>
      </w:r>
      <w:proofErr w:type="spellEnd"/>
      <w:r w:rsidR="00E92E95" w:rsidRPr="00706E50">
        <w:t xml:space="preserve"> </w:t>
      </w:r>
      <w:proofErr w:type="spellStart"/>
      <w:r w:rsidR="00E92E95" w:rsidRPr="00706E50">
        <w:t>sul</w:t>
      </w:r>
      <w:proofErr w:type="spellEnd"/>
      <w:r w:rsidR="00E92E95" w:rsidRPr="00706E50">
        <w:t xml:space="preserve"> </w:t>
      </w:r>
      <w:proofErr w:type="spellStart"/>
      <w:r w:rsidR="00E92E95" w:rsidRPr="00706E50">
        <w:t>coordinamento</w:t>
      </w:r>
      <w:proofErr w:type="spellEnd"/>
      <w:r w:rsidR="00E92E95" w:rsidRPr="00706E50">
        <w:t xml:space="preserve"> dei </w:t>
      </w:r>
      <w:proofErr w:type="spellStart"/>
      <w:r w:rsidR="00E92E95" w:rsidRPr="00706E50">
        <w:t>controlli</w:t>
      </w:r>
      <w:proofErr w:type="spellEnd"/>
      <w:r w:rsidR="00E92E95" w:rsidRPr="00706E50">
        <w:t xml:space="preserve"> delle </w:t>
      </w:r>
      <w:proofErr w:type="spellStart"/>
      <w:r w:rsidR="00E92E95" w:rsidRPr="00706E50">
        <w:t>aziende</w:t>
      </w:r>
      <w:proofErr w:type="spellEnd"/>
      <w:r w:rsidR="00E92E95" w:rsidRPr="00706E50">
        <w:t xml:space="preserve"> agricole (910.15)</w:t>
      </w:r>
      <w:bookmarkEnd w:id="7"/>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67CBB859" w14:textId="77777777">
        <w:trPr>
          <w:tblHeader/>
        </w:trPr>
        <w:tc>
          <w:tcPr>
            <w:tcW w:w="14092" w:type="dxa"/>
            <w:tcBorders>
              <w:top w:val="single" w:sz="4" w:space="0" w:color="auto"/>
              <w:left w:val="single" w:sz="4" w:space="0" w:color="auto"/>
              <w:bottom w:val="nil"/>
              <w:right w:val="single" w:sz="4" w:space="0" w:color="auto"/>
            </w:tcBorders>
          </w:tcPr>
          <w:p w14:paraId="7E866654"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0510925D" w14:textId="77777777" w:rsidR="00B33F4A" w:rsidRDefault="00B33F4A">
            <w:pPr>
              <w:pStyle w:val="Betreff"/>
              <w:widowControl/>
              <w:spacing w:before="0" w:after="0" w:line="240" w:lineRule="auto"/>
            </w:pPr>
          </w:p>
        </w:tc>
      </w:tr>
      <w:tr w:rsidR="00B33F4A" w14:paraId="56DB53EB"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0D6C21E0" w14:textId="70836973" w:rsidR="00B33F4A" w:rsidRDefault="003A3A0E">
            <w:r>
              <w:t>Donner une fréquence différente pour les contrôles liés à la protection des eaux et aux autres domaines est contradictoire avec l’objectif même de l’ordonnance, soit la coordination des contrôles.</w:t>
            </w:r>
          </w:p>
        </w:tc>
        <w:tc>
          <w:tcPr>
            <w:tcW w:w="532" w:type="dxa"/>
            <w:tcBorders>
              <w:top w:val="nil"/>
              <w:left w:val="single" w:sz="4" w:space="0" w:color="auto"/>
              <w:bottom w:val="nil"/>
              <w:right w:val="nil"/>
            </w:tcBorders>
            <w:shd w:val="clear" w:color="auto" w:fill="auto"/>
          </w:tcPr>
          <w:p w14:paraId="085C454D" w14:textId="77777777" w:rsidR="00B33F4A" w:rsidRDefault="00B33F4A">
            <w:pPr>
              <w:rPr>
                <w:b/>
              </w:rPr>
            </w:pPr>
          </w:p>
        </w:tc>
      </w:tr>
    </w:tbl>
    <w:p w14:paraId="372F3A02"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55A4ECD3" w14:textId="77777777">
        <w:trPr>
          <w:tblHeader/>
        </w:trPr>
        <w:tc>
          <w:tcPr>
            <w:tcW w:w="2943" w:type="dxa"/>
          </w:tcPr>
          <w:p w14:paraId="29D13E30"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5B4B7AA6"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79AD0985"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7E531DA3" w14:textId="77777777" w:rsidR="00B33F4A" w:rsidRPr="007132B1" w:rsidRDefault="00B33F4A">
            <w:pPr>
              <w:widowControl/>
              <w:spacing w:after="0" w:line="240" w:lineRule="auto"/>
              <w:rPr>
                <w:b/>
                <w:lang w:val="de-CH"/>
              </w:rPr>
            </w:pPr>
          </w:p>
        </w:tc>
      </w:tr>
      <w:tr w:rsidR="00B33F4A" w:rsidRPr="003A3A0E" w14:paraId="47440D68" w14:textId="77777777">
        <w:tc>
          <w:tcPr>
            <w:tcW w:w="2943" w:type="dxa"/>
          </w:tcPr>
          <w:p w14:paraId="331E492C" w14:textId="466A16E7" w:rsidR="00B33F4A" w:rsidRPr="006157A9" w:rsidRDefault="003A3A0E">
            <w:pPr>
              <w:pStyle w:val="Anhang"/>
              <w:tabs>
                <w:tab w:val="clear" w:pos="1276"/>
              </w:tabs>
              <w:spacing w:before="0" w:after="260"/>
              <w:outlineLvl w:val="9"/>
              <w:rPr>
                <w:lang w:val="de-CH" w:eastAsia="de-CH"/>
              </w:rPr>
            </w:pPr>
            <w:r>
              <w:rPr>
                <w:lang w:val="de-CH" w:eastAsia="de-CH"/>
              </w:rPr>
              <w:t>Art. 3, al. 1</w:t>
            </w:r>
          </w:p>
        </w:tc>
        <w:tc>
          <w:tcPr>
            <w:tcW w:w="5529" w:type="dxa"/>
          </w:tcPr>
          <w:p w14:paraId="2BE9F3C1" w14:textId="6EFD6FB9" w:rsidR="00B33F4A" w:rsidRPr="003A3A0E" w:rsidRDefault="003A3A0E">
            <w:pPr>
              <w:rPr>
                <w:rFonts w:cs="Arial"/>
              </w:rPr>
            </w:pPr>
            <w:r w:rsidRPr="003A3A0E">
              <w:rPr>
                <w:rFonts w:cs="Arial"/>
                <w:shd w:val="clear" w:color="auto" w:fill="FFFFFF"/>
              </w:rPr>
              <w:t xml:space="preserve">Les dispositions des ordonnances mentionnées à l’art. 1, al. 2, let. </w:t>
            </w:r>
            <w:r w:rsidRPr="003A3A0E">
              <w:rPr>
                <w:rFonts w:cs="Arial"/>
                <w:strike/>
                <w:shd w:val="clear" w:color="auto" w:fill="FFFFFF"/>
              </w:rPr>
              <w:t>b</w:t>
            </w:r>
            <w:r w:rsidRPr="003A3A0E">
              <w:rPr>
                <w:rFonts w:cs="Arial"/>
                <w:shd w:val="clear" w:color="auto" w:fill="FFFFFF"/>
              </w:rPr>
              <w:t xml:space="preserve"> </w:t>
            </w:r>
            <w:r>
              <w:rPr>
                <w:rFonts w:cs="Arial"/>
                <w:b/>
                <w:shd w:val="clear" w:color="auto" w:fill="FFFFFF"/>
              </w:rPr>
              <w:t xml:space="preserve">a </w:t>
            </w:r>
            <w:r w:rsidRPr="003A3A0E">
              <w:rPr>
                <w:rFonts w:cs="Arial"/>
                <w:shd w:val="clear" w:color="auto" w:fill="FFFFFF"/>
              </w:rPr>
              <w:t>à d, doivent être contrôlées dans un délai de huit ans au moins.</w:t>
            </w:r>
          </w:p>
        </w:tc>
        <w:tc>
          <w:tcPr>
            <w:tcW w:w="5620" w:type="dxa"/>
          </w:tcPr>
          <w:p w14:paraId="4938F3A0" w14:textId="6839240F" w:rsidR="00B33F4A" w:rsidRPr="003A3A0E" w:rsidRDefault="003A3A0E">
            <w:r>
              <w:t>Voir remarques générales.</w:t>
            </w:r>
          </w:p>
        </w:tc>
        <w:tc>
          <w:tcPr>
            <w:tcW w:w="532" w:type="dxa"/>
            <w:tcBorders>
              <w:top w:val="nil"/>
              <w:bottom w:val="nil"/>
              <w:right w:val="nil"/>
            </w:tcBorders>
            <w:shd w:val="clear" w:color="auto" w:fill="auto"/>
          </w:tcPr>
          <w:p w14:paraId="28E72A07" w14:textId="77777777" w:rsidR="00B33F4A" w:rsidRPr="003A3A0E" w:rsidRDefault="00B33F4A">
            <w:pPr>
              <w:rPr>
                <w:b/>
              </w:rPr>
            </w:pPr>
          </w:p>
        </w:tc>
      </w:tr>
      <w:tr w:rsidR="003A3A0E" w:rsidRPr="003A3A0E" w14:paraId="31A4DAD9" w14:textId="77777777">
        <w:tc>
          <w:tcPr>
            <w:tcW w:w="2943" w:type="dxa"/>
          </w:tcPr>
          <w:p w14:paraId="1D5E3DA9" w14:textId="07F79633" w:rsidR="003A3A0E" w:rsidRPr="003A3A0E" w:rsidRDefault="003A3A0E">
            <w:pPr>
              <w:pStyle w:val="Anhang"/>
              <w:tabs>
                <w:tab w:val="clear" w:pos="1276"/>
              </w:tabs>
              <w:spacing w:before="0" w:after="260"/>
              <w:outlineLvl w:val="9"/>
              <w:rPr>
                <w:lang w:val="fr-CH" w:eastAsia="de-CH"/>
              </w:rPr>
            </w:pPr>
            <w:r w:rsidRPr="003A3A0E">
              <w:rPr>
                <w:lang w:val="fr-CH" w:eastAsia="de-CH"/>
              </w:rPr>
              <w:t xml:space="preserve">Art. 3, al. </w:t>
            </w:r>
            <w:r>
              <w:rPr>
                <w:lang w:val="fr-CH" w:eastAsia="de-CH"/>
              </w:rPr>
              <w:t>2</w:t>
            </w:r>
          </w:p>
        </w:tc>
        <w:tc>
          <w:tcPr>
            <w:tcW w:w="5529" w:type="dxa"/>
          </w:tcPr>
          <w:p w14:paraId="43702CE0" w14:textId="2A4BA0C6" w:rsidR="003A3A0E" w:rsidRPr="003A3A0E" w:rsidRDefault="003A3A0E">
            <w:pPr>
              <w:rPr>
                <w:rFonts w:cs="Arial"/>
                <w:strike/>
                <w:shd w:val="clear" w:color="auto" w:fill="FFFFFF"/>
              </w:rPr>
            </w:pPr>
            <w:r w:rsidRPr="003A3A0E">
              <w:rPr>
                <w:rFonts w:cs="Arial"/>
                <w:strike/>
                <w:shd w:val="clear" w:color="auto" w:fill="FFFFFF"/>
              </w:rPr>
              <w:t>Les dispositions de l’ordonnance mentionnée à l’art. 1, al. 2, let. a, doivent être contrôlées dans un délai de quatre ans au moins dans les exploitations à l’année et de huit ans au moins dans les exploitations d’estivage.</w:t>
            </w:r>
          </w:p>
        </w:tc>
        <w:tc>
          <w:tcPr>
            <w:tcW w:w="5620" w:type="dxa"/>
          </w:tcPr>
          <w:p w14:paraId="417654DB" w14:textId="465361B1" w:rsidR="003A3A0E" w:rsidRDefault="003A3A0E" w:rsidP="003A3A0E">
            <w:r>
              <w:t>Voir remarques générales.</w:t>
            </w:r>
          </w:p>
        </w:tc>
        <w:tc>
          <w:tcPr>
            <w:tcW w:w="532" w:type="dxa"/>
            <w:tcBorders>
              <w:top w:val="nil"/>
              <w:bottom w:val="nil"/>
              <w:right w:val="nil"/>
            </w:tcBorders>
            <w:shd w:val="clear" w:color="auto" w:fill="auto"/>
          </w:tcPr>
          <w:p w14:paraId="73A23A56" w14:textId="77777777" w:rsidR="003A3A0E" w:rsidRPr="003A3A0E" w:rsidRDefault="003A3A0E">
            <w:pPr>
              <w:rPr>
                <w:b/>
              </w:rPr>
            </w:pPr>
          </w:p>
        </w:tc>
      </w:tr>
    </w:tbl>
    <w:p w14:paraId="18C337D5" w14:textId="77777777" w:rsidR="00B33F4A" w:rsidRPr="003A3A0E" w:rsidRDefault="00B33F4A"/>
    <w:p w14:paraId="1441B32F" w14:textId="77777777" w:rsidR="00B33F4A" w:rsidRPr="008B5D61" w:rsidRDefault="00B67434">
      <w:pPr>
        <w:pStyle w:val="Titre1"/>
        <w:rPr>
          <w:lang w:val="it-CH"/>
        </w:rPr>
      </w:pPr>
      <w:bookmarkStart w:id="8" w:name="_Toc93667895"/>
      <w:r w:rsidRPr="008B5D61">
        <w:rPr>
          <w:lang w:val="it-CH"/>
        </w:rPr>
        <w:lastRenderedPageBreak/>
        <w:t xml:space="preserve">BR 05 </w:t>
      </w:r>
      <w:r w:rsidR="00522AB9" w:rsidRPr="008B5D61">
        <w:rPr>
          <w:lang w:val="it-CH"/>
        </w:rPr>
        <w:t>Bio-Verordnung</w:t>
      </w:r>
      <w:r w:rsidRPr="008B5D61">
        <w:rPr>
          <w:szCs w:val="20"/>
          <w:lang w:val="it-CH"/>
        </w:rPr>
        <w:t xml:space="preserve"> </w:t>
      </w:r>
      <w:r w:rsidRPr="008B5D61">
        <w:rPr>
          <w:lang w:val="it-CH"/>
        </w:rPr>
        <w:t xml:space="preserve">/ </w:t>
      </w:r>
      <w:r w:rsidR="008B5D61" w:rsidRPr="008B5D61">
        <w:rPr>
          <w:lang w:val="it-CH"/>
        </w:rPr>
        <w:t xml:space="preserve">Ordonnance sur l’agriculture biologique </w:t>
      </w:r>
      <w:r w:rsidRPr="008B5D61">
        <w:rPr>
          <w:lang w:val="it-CH"/>
        </w:rPr>
        <w:t xml:space="preserve">/ </w:t>
      </w:r>
      <w:r w:rsidR="002D15EF" w:rsidRPr="002D15EF">
        <w:rPr>
          <w:lang w:val="it-CH"/>
        </w:rPr>
        <w:t xml:space="preserve">Ordinanza sull’agricoltura biologica </w:t>
      </w:r>
      <w:r w:rsidRPr="008B5D61">
        <w:rPr>
          <w:szCs w:val="20"/>
          <w:lang w:val="it-CH"/>
        </w:rPr>
        <w:t>(</w:t>
      </w:r>
      <w:r w:rsidR="002D15EF">
        <w:rPr>
          <w:szCs w:val="20"/>
          <w:lang w:val="it-CH"/>
        </w:rPr>
        <w:t>910.18</w:t>
      </w:r>
      <w:r w:rsidRPr="008B5D61">
        <w:rPr>
          <w:szCs w:val="20"/>
          <w:lang w:val="it-CH"/>
        </w:rPr>
        <w:t>)</w:t>
      </w:r>
      <w:bookmarkEnd w:id="8"/>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69EB3969" w14:textId="77777777">
        <w:trPr>
          <w:tblHeader/>
        </w:trPr>
        <w:tc>
          <w:tcPr>
            <w:tcW w:w="14092" w:type="dxa"/>
            <w:tcBorders>
              <w:top w:val="single" w:sz="4" w:space="0" w:color="auto"/>
              <w:left w:val="single" w:sz="4" w:space="0" w:color="auto"/>
              <w:bottom w:val="nil"/>
              <w:right w:val="single" w:sz="4" w:space="0" w:color="auto"/>
            </w:tcBorders>
          </w:tcPr>
          <w:p w14:paraId="3783CC85"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5649D7DE" w14:textId="77777777" w:rsidR="00B33F4A" w:rsidRDefault="00B33F4A">
            <w:pPr>
              <w:pStyle w:val="Betreff"/>
              <w:widowControl/>
              <w:spacing w:before="0" w:after="0" w:line="240" w:lineRule="auto"/>
            </w:pPr>
          </w:p>
        </w:tc>
      </w:tr>
      <w:tr w:rsidR="00B33F4A" w14:paraId="6769B2D7"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00066237" w14:textId="77777777" w:rsidR="00B33F4A" w:rsidRDefault="00706E50">
            <w:r>
              <w:t>Pas de remarque particulière</w:t>
            </w:r>
          </w:p>
        </w:tc>
        <w:tc>
          <w:tcPr>
            <w:tcW w:w="532" w:type="dxa"/>
            <w:tcBorders>
              <w:top w:val="nil"/>
              <w:left w:val="single" w:sz="4" w:space="0" w:color="auto"/>
              <w:bottom w:val="nil"/>
              <w:right w:val="nil"/>
            </w:tcBorders>
            <w:shd w:val="clear" w:color="auto" w:fill="auto"/>
          </w:tcPr>
          <w:p w14:paraId="0FF28F22" w14:textId="77777777" w:rsidR="00B33F4A" w:rsidRDefault="00B33F4A">
            <w:pPr>
              <w:rPr>
                <w:b/>
              </w:rPr>
            </w:pPr>
          </w:p>
        </w:tc>
      </w:tr>
    </w:tbl>
    <w:p w14:paraId="5CFEBF09"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6083BE2A" w14:textId="77777777">
        <w:trPr>
          <w:tblHeader/>
        </w:trPr>
        <w:tc>
          <w:tcPr>
            <w:tcW w:w="2943" w:type="dxa"/>
          </w:tcPr>
          <w:p w14:paraId="33F3973C"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2FD9FE8"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76EC4937"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61C1BD30" w14:textId="77777777" w:rsidR="00B33F4A" w:rsidRPr="007132B1" w:rsidRDefault="00B33F4A">
            <w:pPr>
              <w:widowControl/>
              <w:spacing w:after="0" w:line="240" w:lineRule="auto"/>
              <w:rPr>
                <w:b/>
                <w:lang w:val="de-CH"/>
              </w:rPr>
            </w:pPr>
          </w:p>
        </w:tc>
      </w:tr>
      <w:tr w:rsidR="00B33F4A" w:rsidRPr="00971C09" w14:paraId="53AA7E62" w14:textId="77777777">
        <w:tc>
          <w:tcPr>
            <w:tcW w:w="2943" w:type="dxa"/>
          </w:tcPr>
          <w:p w14:paraId="39234865" w14:textId="77777777" w:rsidR="00B33F4A" w:rsidRPr="006157A9" w:rsidRDefault="00B33F4A">
            <w:pPr>
              <w:pStyle w:val="Anhang"/>
              <w:tabs>
                <w:tab w:val="clear" w:pos="1276"/>
              </w:tabs>
              <w:spacing w:before="0" w:after="260"/>
              <w:outlineLvl w:val="9"/>
              <w:rPr>
                <w:lang w:val="de-CH" w:eastAsia="de-CH"/>
              </w:rPr>
            </w:pPr>
          </w:p>
        </w:tc>
        <w:tc>
          <w:tcPr>
            <w:tcW w:w="5529" w:type="dxa"/>
          </w:tcPr>
          <w:p w14:paraId="199D1D31" w14:textId="77777777" w:rsidR="00B33F4A" w:rsidRPr="007132B1" w:rsidRDefault="00B33F4A">
            <w:pPr>
              <w:rPr>
                <w:lang w:val="de-CH"/>
              </w:rPr>
            </w:pPr>
          </w:p>
        </w:tc>
        <w:tc>
          <w:tcPr>
            <w:tcW w:w="5620" w:type="dxa"/>
          </w:tcPr>
          <w:p w14:paraId="3B7593C1" w14:textId="77777777" w:rsidR="00B33F4A" w:rsidRPr="007132B1" w:rsidRDefault="00B33F4A">
            <w:pPr>
              <w:rPr>
                <w:lang w:val="de-CH"/>
              </w:rPr>
            </w:pPr>
          </w:p>
        </w:tc>
        <w:tc>
          <w:tcPr>
            <w:tcW w:w="532" w:type="dxa"/>
            <w:tcBorders>
              <w:top w:val="nil"/>
              <w:bottom w:val="nil"/>
              <w:right w:val="nil"/>
            </w:tcBorders>
            <w:shd w:val="clear" w:color="auto" w:fill="auto"/>
          </w:tcPr>
          <w:p w14:paraId="28B21A5F" w14:textId="77777777" w:rsidR="00B33F4A" w:rsidRPr="007132B1" w:rsidRDefault="00B33F4A">
            <w:pPr>
              <w:rPr>
                <w:b/>
                <w:lang w:val="de-CH"/>
              </w:rPr>
            </w:pPr>
          </w:p>
        </w:tc>
      </w:tr>
    </w:tbl>
    <w:p w14:paraId="4EBF6791" w14:textId="77777777" w:rsidR="00B33F4A" w:rsidRPr="007132B1" w:rsidRDefault="00B33F4A">
      <w:pPr>
        <w:rPr>
          <w:lang w:val="de-CH"/>
        </w:rPr>
      </w:pPr>
    </w:p>
    <w:p w14:paraId="1FF50A15" w14:textId="77777777" w:rsidR="00B33F4A" w:rsidRPr="008B5D61" w:rsidRDefault="00B67434">
      <w:pPr>
        <w:pStyle w:val="Titre1"/>
        <w:rPr>
          <w:lang w:val="it-CH"/>
        </w:rPr>
      </w:pPr>
      <w:bookmarkStart w:id="9" w:name="_Toc93667896"/>
      <w:r w:rsidRPr="008B5D61">
        <w:rPr>
          <w:lang w:val="it-CH"/>
        </w:rPr>
        <w:lastRenderedPageBreak/>
        <w:t xml:space="preserve">BR 06 </w:t>
      </w:r>
      <w:r w:rsidR="00522AB9" w:rsidRPr="008B5D61">
        <w:rPr>
          <w:lang w:val="it-CH"/>
        </w:rPr>
        <w:t>Landwirtschaftliche Begriffsverordnung</w:t>
      </w:r>
      <w:r w:rsidRPr="008B5D61">
        <w:rPr>
          <w:lang w:val="it-CH"/>
        </w:rPr>
        <w:t xml:space="preserve"> / </w:t>
      </w:r>
      <w:r w:rsidR="008B5D61" w:rsidRPr="008B5D61">
        <w:rPr>
          <w:lang w:val="it-CH"/>
        </w:rPr>
        <w:t>Ordonnance sur la terminologie agricole</w:t>
      </w:r>
      <w:r w:rsidRPr="008B5D61">
        <w:rPr>
          <w:lang w:val="it-CH"/>
        </w:rPr>
        <w:t xml:space="preserve"> / </w:t>
      </w:r>
      <w:r w:rsidR="002D15EF" w:rsidRPr="002D15EF">
        <w:rPr>
          <w:lang w:val="it-CH"/>
        </w:rPr>
        <w:t>Ordinanza sulla terminologia agricola</w:t>
      </w:r>
      <w:r w:rsidR="002D15EF" w:rsidRPr="008B5D61">
        <w:rPr>
          <w:lang w:val="it-CH"/>
        </w:rPr>
        <w:t xml:space="preserve"> </w:t>
      </w:r>
      <w:r w:rsidR="002D15EF">
        <w:rPr>
          <w:lang w:val="it-CH"/>
        </w:rPr>
        <w:t>(910</w:t>
      </w:r>
      <w:r w:rsidR="00292FE2">
        <w:rPr>
          <w:lang w:val="it-CH"/>
        </w:rPr>
        <w:t>.91</w:t>
      </w:r>
      <w:r w:rsidRPr="008B5D61">
        <w:rPr>
          <w:lang w:val="it-CH"/>
        </w:rPr>
        <w:t>)</w:t>
      </w:r>
      <w:bookmarkEnd w:id="9"/>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786985C4" w14:textId="77777777">
        <w:trPr>
          <w:tblHeader/>
        </w:trPr>
        <w:tc>
          <w:tcPr>
            <w:tcW w:w="14092" w:type="dxa"/>
            <w:tcBorders>
              <w:top w:val="single" w:sz="4" w:space="0" w:color="auto"/>
              <w:left w:val="single" w:sz="4" w:space="0" w:color="auto"/>
              <w:bottom w:val="nil"/>
              <w:right w:val="single" w:sz="4" w:space="0" w:color="auto"/>
            </w:tcBorders>
          </w:tcPr>
          <w:p w14:paraId="16908A65"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4219F219" w14:textId="77777777" w:rsidR="00B33F4A" w:rsidRDefault="00B33F4A">
            <w:pPr>
              <w:pStyle w:val="Betreff"/>
              <w:widowControl/>
              <w:spacing w:before="0" w:after="0" w:line="240" w:lineRule="auto"/>
            </w:pPr>
          </w:p>
        </w:tc>
      </w:tr>
      <w:tr w:rsidR="00B33F4A" w14:paraId="145D11EC" w14:textId="77777777" w:rsidTr="007C3226">
        <w:trPr>
          <w:cantSplit/>
          <w:trHeight w:val="690"/>
          <w:tblHeader/>
        </w:trPr>
        <w:tc>
          <w:tcPr>
            <w:tcW w:w="14092" w:type="dxa"/>
            <w:tcBorders>
              <w:top w:val="nil"/>
              <w:left w:val="single" w:sz="4" w:space="0" w:color="auto"/>
              <w:bottom w:val="single" w:sz="4" w:space="0" w:color="auto"/>
              <w:right w:val="single" w:sz="4" w:space="0" w:color="auto"/>
            </w:tcBorders>
          </w:tcPr>
          <w:p w14:paraId="033DA47F" w14:textId="77777777" w:rsidR="00B33F4A" w:rsidRDefault="00706E50">
            <w:r>
              <w:t>Pas de remarque particulière</w:t>
            </w:r>
          </w:p>
        </w:tc>
        <w:tc>
          <w:tcPr>
            <w:tcW w:w="532" w:type="dxa"/>
            <w:tcBorders>
              <w:top w:val="nil"/>
              <w:left w:val="single" w:sz="4" w:space="0" w:color="auto"/>
              <w:bottom w:val="nil"/>
              <w:right w:val="nil"/>
            </w:tcBorders>
            <w:shd w:val="clear" w:color="auto" w:fill="auto"/>
          </w:tcPr>
          <w:p w14:paraId="6EDC4C03" w14:textId="77777777" w:rsidR="00B33F4A" w:rsidRDefault="00B33F4A">
            <w:pPr>
              <w:rPr>
                <w:b/>
              </w:rPr>
            </w:pPr>
          </w:p>
        </w:tc>
      </w:tr>
    </w:tbl>
    <w:p w14:paraId="51853478"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5872A50D" w14:textId="77777777">
        <w:trPr>
          <w:tblHeader/>
        </w:trPr>
        <w:tc>
          <w:tcPr>
            <w:tcW w:w="2943" w:type="dxa"/>
          </w:tcPr>
          <w:p w14:paraId="7E3AC019"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EE87D7D"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2822E85F"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5E3954AF" w14:textId="77777777" w:rsidR="00B33F4A" w:rsidRPr="007132B1" w:rsidRDefault="00B33F4A">
            <w:pPr>
              <w:widowControl/>
              <w:spacing w:after="0" w:line="240" w:lineRule="auto"/>
              <w:rPr>
                <w:b/>
                <w:lang w:val="de-CH"/>
              </w:rPr>
            </w:pPr>
          </w:p>
        </w:tc>
      </w:tr>
      <w:tr w:rsidR="00B33F4A" w:rsidRPr="00E16FD1" w14:paraId="33638B1C" w14:textId="77777777">
        <w:tc>
          <w:tcPr>
            <w:tcW w:w="2943" w:type="dxa"/>
          </w:tcPr>
          <w:p w14:paraId="4132B7A5" w14:textId="0541E18B" w:rsidR="00B33F4A" w:rsidRPr="006157A9" w:rsidRDefault="007C3226">
            <w:pPr>
              <w:pStyle w:val="Anhang"/>
              <w:tabs>
                <w:tab w:val="clear" w:pos="1276"/>
              </w:tabs>
              <w:spacing w:before="0" w:after="260"/>
              <w:outlineLvl w:val="9"/>
              <w:rPr>
                <w:lang w:val="de-CH" w:eastAsia="de-CH"/>
              </w:rPr>
            </w:pPr>
            <w:r>
              <w:rPr>
                <w:lang w:val="de-CH" w:eastAsia="de-CH"/>
              </w:rPr>
              <w:t>Art. 16, al. 4</w:t>
            </w:r>
          </w:p>
        </w:tc>
        <w:tc>
          <w:tcPr>
            <w:tcW w:w="5529" w:type="dxa"/>
          </w:tcPr>
          <w:p w14:paraId="51BBF933" w14:textId="0C13CA8A" w:rsidR="00B33F4A" w:rsidRPr="0064509D" w:rsidRDefault="007C3226">
            <w:r>
              <w:t xml:space="preserve">Les surfaces ou parties de surfaces présentant une forte densité </w:t>
            </w:r>
            <w:proofErr w:type="gramStart"/>
            <w:r>
              <w:rPr>
                <w:b/>
              </w:rPr>
              <w:t>d’une adventice persistante</w:t>
            </w:r>
            <w:proofErr w:type="gramEnd"/>
            <w:r>
              <w:rPr>
                <w:b/>
              </w:rPr>
              <w:t xml:space="preserve">, par exemple </w:t>
            </w:r>
            <w:r>
              <w:t>de souchet comestible</w:t>
            </w:r>
            <w:r>
              <w:rPr>
                <w:b/>
              </w:rPr>
              <w:t>,</w:t>
            </w:r>
            <w:r>
              <w:t xml:space="preserve"> sont comptabilisées dans la surface agricole utile, en dérogation à l’al. 1, let. b, si le service cantonal compétent octroie une autorisation d’assainissement de la surface au moyen d’une jachère nue. La surface doit être exploitée conformément à la publication du 11 août 2020 de la Conférence des services phytosanitaires cantonaux «Die </w:t>
            </w:r>
            <w:proofErr w:type="spellStart"/>
            <w:r>
              <w:t>Schwarzbrache</w:t>
            </w:r>
            <w:proofErr w:type="spellEnd"/>
            <w:r>
              <w:t xml:space="preserve"> </w:t>
            </w:r>
            <w:proofErr w:type="spellStart"/>
            <w:r>
              <w:t>als</w:t>
            </w:r>
            <w:proofErr w:type="spellEnd"/>
            <w:r>
              <w:t xml:space="preserve"> Instrument </w:t>
            </w:r>
            <w:proofErr w:type="spellStart"/>
            <w:r>
              <w:t>zur</w:t>
            </w:r>
            <w:proofErr w:type="spellEnd"/>
            <w:r>
              <w:t xml:space="preserve"> </w:t>
            </w:r>
            <w:proofErr w:type="spellStart"/>
            <w:r>
              <w:t>Erdmandelgrasbekämpfung</w:t>
            </w:r>
            <w:proofErr w:type="spellEnd"/>
            <w:r>
              <w:t>» [= La jachère nue en tant qu’instrument pour lutter contre le souchet comestible].</w:t>
            </w:r>
          </w:p>
        </w:tc>
        <w:tc>
          <w:tcPr>
            <w:tcW w:w="5620" w:type="dxa"/>
          </w:tcPr>
          <w:p w14:paraId="33540593" w14:textId="0D8A2F81" w:rsidR="00B33F4A" w:rsidRPr="007132B1" w:rsidRDefault="007C3226">
            <w:pPr>
              <w:rPr>
                <w:lang w:val="de-CH"/>
              </w:rPr>
            </w:pPr>
            <w:r w:rsidRPr="0064509D">
              <w:t xml:space="preserve">Nous saluons l’introduction de cette mesure </w:t>
            </w:r>
            <w:proofErr w:type="spellStart"/>
            <w:r w:rsidRPr="0064509D">
              <w:t>maisconsidérons</w:t>
            </w:r>
            <w:proofErr w:type="spellEnd"/>
            <w:r w:rsidRPr="0064509D">
              <w:t xml:space="preserve"> qu’il serait de bon aloi, au vu de la trajectoire de réduction et du changement climatique, de ne pas la limiter au </w:t>
            </w:r>
            <w:proofErr w:type="spellStart"/>
            <w:r w:rsidRPr="0064509D">
              <w:t>suchet</w:t>
            </w:r>
            <w:proofErr w:type="spellEnd"/>
            <w:r w:rsidRPr="0064509D">
              <w:t xml:space="preserve"> comestible. </w:t>
            </w:r>
            <w:proofErr w:type="spellStart"/>
            <w:r>
              <w:rPr>
                <w:lang w:val="de-CH"/>
              </w:rPr>
              <w:t>D’autres</w:t>
            </w:r>
            <w:proofErr w:type="spellEnd"/>
            <w:r>
              <w:rPr>
                <w:lang w:val="de-CH"/>
              </w:rPr>
              <w:t xml:space="preserve"> </w:t>
            </w:r>
            <w:proofErr w:type="spellStart"/>
            <w:r>
              <w:rPr>
                <w:lang w:val="de-CH"/>
              </w:rPr>
              <w:t>plantes</w:t>
            </w:r>
            <w:proofErr w:type="spellEnd"/>
            <w:r>
              <w:rPr>
                <w:lang w:val="de-CH"/>
              </w:rPr>
              <w:t xml:space="preserve"> </w:t>
            </w:r>
            <w:proofErr w:type="spellStart"/>
            <w:r>
              <w:rPr>
                <w:lang w:val="de-CH"/>
              </w:rPr>
              <w:t>problématiques</w:t>
            </w:r>
            <w:proofErr w:type="spellEnd"/>
            <w:r>
              <w:rPr>
                <w:lang w:val="de-CH"/>
              </w:rPr>
              <w:t xml:space="preserve"> </w:t>
            </w:r>
            <w:proofErr w:type="spellStart"/>
            <w:r>
              <w:rPr>
                <w:lang w:val="de-CH"/>
              </w:rPr>
              <w:t>pourraient</w:t>
            </w:r>
            <w:proofErr w:type="spellEnd"/>
            <w:r>
              <w:rPr>
                <w:lang w:val="de-CH"/>
              </w:rPr>
              <w:t xml:space="preserve"> </w:t>
            </w:r>
            <w:proofErr w:type="spellStart"/>
            <w:r>
              <w:rPr>
                <w:lang w:val="de-CH"/>
              </w:rPr>
              <w:t>apparaître</w:t>
            </w:r>
            <w:proofErr w:type="spellEnd"/>
            <w:r>
              <w:rPr>
                <w:lang w:val="de-CH"/>
              </w:rPr>
              <w:t xml:space="preserve"> à </w:t>
            </w:r>
            <w:proofErr w:type="spellStart"/>
            <w:r>
              <w:rPr>
                <w:lang w:val="de-CH"/>
              </w:rPr>
              <w:t>l’avenir</w:t>
            </w:r>
            <w:proofErr w:type="spellEnd"/>
            <w:r>
              <w:rPr>
                <w:lang w:val="de-CH"/>
              </w:rPr>
              <w:t>.</w:t>
            </w:r>
          </w:p>
        </w:tc>
        <w:tc>
          <w:tcPr>
            <w:tcW w:w="532" w:type="dxa"/>
            <w:tcBorders>
              <w:top w:val="nil"/>
              <w:bottom w:val="nil"/>
              <w:right w:val="nil"/>
            </w:tcBorders>
            <w:shd w:val="clear" w:color="auto" w:fill="auto"/>
          </w:tcPr>
          <w:p w14:paraId="3966AF65" w14:textId="77777777" w:rsidR="00B33F4A" w:rsidRPr="007132B1" w:rsidRDefault="00B33F4A">
            <w:pPr>
              <w:rPr>
                <w:b/>
                <w:lang w:val="de-CH"/>
              </w:rPr>
            </w:pPr>
          </w:p>
        </w:tc>
      </w:tr>
      <w:tr w:rsidR="007C3226" w:rsidRPr="00E16FD1" w14:paraId="14CB58DD" w14:textId="77777777">
        <w:tc>
          <w:tcPr>
            <w:tcW w:w="2943" w:type="dxa"/>
          </w:tcPr>
          <w:p w14:paraId="180F75E1" w14:textId="50CA81A6" w:rsidR="007C3226" w:rsidRDefault="007C3226">
            <w:pPr>
              <w:pStyle w:val="Anhang"/>
              <w:tabs>
                <w:tab w:val="clear" w:pos="1276"/>
              </w:tabs>
              <w:spacing w:before="0" w:after="260"/>
              <w:outlineLvl w:val="9"/>
              <w:rPr>
                <w:lang w:val="de-CH" w:eastAsia="de-CH"/>
              </w:rPr>
            </w:pPr>
            <w:r>
              <w:rPr>
                <w:lang w:val="de-CH" w:eastAsia="de-CH"/>
              </w:rPr>
              <w:t xml:space="preserve">Art. 22, al. 2, </w:t>
            </w:r>
            <w:proofErr w:type="spellStart"/>
            <w:r>
              <w:rPr>
                <w:lang w:val="de-CH" w:eastAsia="de-CH"/>
              </w:rPr>
              <w:t>let</w:t>
            </w:r>
            <w:proofErr w:type="spellEnd"/>
            <w:r>
              <w:rPr>
                <w:lang w:val="de-CH" w:eastAsia="de-CH"/>
              </w:rPr>
              <w:t>. a</w:t>
            </w:r>
          </w:p>
        </w:tc>
        <w:tc>
          <w:tcPr>
            <w:tcW w:w="5529" w:type="dxa"/>
          </w:tcPr>
          <w:p w14:paraId="2429EF37" w14:textId="56233606" w:rsidR="007C3226" w:rsidRDefault="007C3226">
            <w:r>
              <w:t xml:space="preserve">300 arbres par hectare au moins s’il s’agit de pommiers, de poiriers, </w:t>
            </w:r>
            <w:r>
              <w:rPr>
                <w:b/>
              </w:rPr>
              <w:t xml:space="preserve">de cerisiers, </w:t>
            </w:r>
            <w:r>
              <w:t xml:space="preserve">de pruniers, de cognassiers, </w:t>
            </w:r>
            <w:r>
              <w:rPr>
                <w:b/>
              </w:rPr>
              <w:t>d’abricotiers, de pêchers, de nectarines,</w:t>
            </w:r>
            <w:r>
              <w:t xml:space="preserve"> d’</w:t>
            </w:r>
            <w:proofErr w:type="spellStart"/>
            <w:r>
              <w:t>actinidiers</w:t>
            </w:r>
            <w:proofErr w:type="spellEnd"/>
            <w:r>
              <w:t xml:space="preserve"> (kiwis), de sureaux, de plaqueminiers, de figuiers, de noisetiers, d’amandiers et d’oliviers;</w:t>
            </w:r>
          </w:p>
        </w:tc>
        <w:tc>
          <w:tcPr>
            <w:tcW w:w="5620" w:type="dxa"/>
          </w:tcPr>
          <w:p w14:paraId="77CAC67A" w14:textId="0BEDDDEC" w:rsidR="007C3226" w:rsidRPr="007C3226" w:rsidRDefault="007C3226" w:rsidP="007C3226">
            <w:pPr>
              <w:pStyle w:val="Default"/>
              <w:spacing w:after="260" w:line="260" w:lineRule="atLeast"/>
              <w:rPr>
                <w:sz w:val="20"/>
              </w:rPr>
            </w:pPr>
            <w:r>
              <w:rPr>
                <w:sz w:val="20"/>
                <w:szCs w:val="20"/>
              </w:rPr>
              <w:t>AGORA salue cette adaptation et cet élargissement. La définition des vergers, surtout pour les cerises, les pruneaux, les abricots, les pêches et les nectarines, devrait être augmentée et ainsi adaptée aux besoins signalés par la pratique et la mise en application.</w:t>
            </w:r>
          </w:p>
        </w:tc>
        <w:tc>
          <w:tcPr>
            <w:tcW w:w="532" w:type="dxa"/>
            <w:tcBorders>
              <w:top w:val="nil"/>
              <w:bottom w:val="nil"/>
              <w:right w:val="nil"/>
            </w:tcBorders>
            <w:shd w:val="clear" w:color="auto" w:fill="auto"/>
          </w:tcPr>
          <w:p w14:paraId="392D2AAF" w14:textId="77777777" w:rsidR="007C3226" w:rsidRPr="0064509D" w:rsidRDefault="007C3226">
            <w:pPr>
              <w:rPr>
                <w:b/>
              </w:rPr>
            </w:pPr>
          </w:p>
        </w:tc>
      </w:tr>
      <w:tr w:rsidR="007C3226" w:rsidRPr="00E16FD1" w14:paraId="5C2DE41E" w14:textId="77777777">
        <w:tc>
          <w:tcPr>
            <w:tcW w:w="2943" w:type="dxa"/>
          </w:tcPr>
          <w:p w14:paraId="383AC339" w14:textId="508DB04A" w:rsidR="007C3226" w:rsidRDefault="007C3226">
            <w:pPr>
              <w:pStyle w:val="Anhang"/>
              <w:tabs>
                <w:tab w:val="clear" w:pos="1276"/>
              </w:tabs>
              <w:spacing w:before="0" w:after="260"/>
              <w:outlineLvl w:val="9"/>
              <w:rPr>
                <w:lang w:val="de-CH" w:eastAsia="de-CH"/>
              </w:rPr>
            </w:pPr>
            <w:r>
              <w:rPr>
                <w:lang w:val="de-CH" w:eastAsia="de-CH"/>
              </w:rPr>
              <w:t xml:space="preserve">Art. 22, al. 2, </w:t>
            </w:r>
            <w:proofErr w:type="spellStart"/>
            <w:r>
              <w:rPr>
                <w:lang w:val="de-CH" w:eastAsia="de-CH"/>
              </w:rPr>
              <w:t>let</w:t>
            </w:r>
            <w:proofErr w:type="spellEnd"/>
            <w:r>
              <w:rPr>
                <w:lang w:val="de-CH" w:eastAsia="de-CH"/>
              </w:rPr>
              <w:t>. b</w:t>
            </w:r>
          </w:p>
        </w:tc>
        <w:tc>
          <w:tcPr>
            <w:tcW w:w="5529" w:type="dxa"/>
          </w:tcPr>
          <w:p w14:paraId="41603B19" w14:textId="153CAAAF" w:rsidR="007C3226" w:rsidRPr="007C3226" w:rsidRDefault="007C3226">
            <w:pPr>
              <w:rPr>
                <w:strike/>
              </w:rPr>
            </w:pPr>
            <w:r w:rsidRPr="007C3226">
              <w:rPr>
                <w:strike/>
              </w:rPr>
              <w:t xml:space="preserve">200 arbres par hectare au moins s’il s’agit d’abricotiers et de </w:t>
            </w:r>
            <w:proofErr w:type="gramStart"/>
            <w:r w:rsidRPr="007C3226">
              <w:rPr>
                <w:strike/>
              </w:rPr>
              <w:t>pêchers;</w:t>
            </w:r>
            <w:proofErr w:type="gramEnd"/>
          </w:p>
        </w:tc>
        <w:tc>
          <w:tcPr>
            <w:tcW w:w="5620" w:type="dxa"/>
          </w:tcPr>
          <w:p w14:paraId="23C7FC4F" w14:textId="61F0542C" w:rsidR="007C3226" w:rsidRDefault="007C3226" w:rsidP="007C3226">
            <w:pPr>
              <w:pStyle w:val="Default"/>
              <w:spacing w:after="260" w:line="260" w:lineRule="atLeast"/>
              <w:rPr>
                <w:sz w:val="20"/>
                <w:szCs w:val="20"/>
              </w:rPr>
            </w:pPr>
            <w:r>
              <w:rPr>
                <w:sz w:val="20"/>
                <w:szCs w:val="20"/>
              </w:rPr>
              <w:t>Voir ci-dessus.</w:t>
            </w:r>
          </w:p>
        </w:tc>
        <w:tc>
          <w:tcPr>
            <w:tcW w:w="532" w:type="dxa"/>
            <w:tcBorders>
              <w:top w:val="nil"/>
              <w:bottom w:val="nil"/>
              <w:right w:val="nil"/>
            </w:tcBorders>
            <w:shd w:val="clear" w:color="auto" w:fill="auto"/>
          </w:tcPr>
          <w:p w14:paraId="4A272E74" w14:textId="77777777" w:rsidR="007C3226" w:rsidRPr="007132B1" w:rsidRDefault="007C3226">
            <w:pPr>
              <w:rPr>
                <w:b/>
                <w:lang w:val="de-CH"/>
              </w:rPr>
            </w:pPr>
          </w:p>
        </w:tc>
      </w:tr>
      <w:tr w:rsidR="007C3226" w:rsidRPr="00E16FD1" w14:paraId="5F977759" w14:textId="77777777">
        <w:tc>
          <w:tcPr>
            <w:tcW w:w="2943" w:type="dxa"/>
          </w:tcPr>
          <w:p w14:paraId="0B1EF230" w14:textId="66B0E451" w:rsidR="007C3226" w:rsidRDefault="007C3226">
            <w:pPr>
              <w:pStyle w:val="Anhang"/>
              <w:tabs>
                <w:tab w:val="clear" w:pos="1276"/>
              </w:tabs>
              <w:spacing w:before="0" w:after="260"/>
              <w:outlineLvl w:val="9"/>
              <w:rPr>
                <w:lang w:val="de-CH" w:eastAsia="de-CH"/>
              </w:rPr>
            </w:pPr>
            <w:r>
              <w:rPr>
                <w:lang w:val="de-CH" w:eastAsia="de-CH"/>
              </w:rPr>
              <w:t xml:space="preserve">Art. 22, al. 2, </w:t>
            </w:r>
            <w:proofErr w:type="spellStart"/>
            <w:r>
              <w:rPr>
                <w:lang w:val="de-CH" w:eastAsia="de-CH"/>
              </w:rPr>
              <w:t>let</w:t>
            </w:r>
            <w:proofErr w:type="spellEnd"/>
            <w:r>
              <w:rPr>
                <w:lang w:val="de-CH" w:eastAsia="de-CH"/>
              </w:rPr>
              <w:t>. c</w:t>
            </w:r>
          </w:p>
        </w:tc>
        <w:tc>
          <w:tcPr>
            <w:tcW w:w="5529" w:type="dxa"/>
          </w:tcPr>
          <w:p w14:paraId="3D3DC386" w14:textId="5048E026" w:rsidR="007C3226" w:rsidRPr="007C3226" w:rsidRDefault="007C3226">
            <w:pPr>
              <w:rPr>
                <w:strike/>
              </w:rPr>
            </w:pPr>
            <w:r>
              <w:t xml:space="preserve">100 arbres par hectare au moins s’il s’agit </w:t>
            </w:r>
            <w:r w:rsidRPr="007C3226">
              <w:rPr>
                <w:strike/>
              </w:rPr>
              <w:t>de cerisiers,</w:t>
            </w:r>
            <w:r>
              <w:t xml:space="preserve"> de noyers et de châtaigniers en dehors des châtaigneraies.</w:t>
            </w:r>
          </w:p>
        </w:tc>
        <w:tc>
          <w:tcPr>
            <w:tcW w:w="5620" w:type="dxa"/>
          </w:tcPr>
          <w:p w14:paraId="0582CC57" w14:textId="16CBF024" w:rsidR="007C3226" w:rsidRDefault="007C3226" w:rsidP="007C3226">
            <w:pPr>
              <w:pStyle w:val="Default"/>
              <w:spacing w:after="260" w:line="260" w:lineRule="atLeast"/>
              <w:rPr>
                <w:sz w:val="20"/>
                <w:szCs w:val="20"/>
              </w:rPr>
            </w:pPr>
            <w:r>
              <w:rPr>
                <w:sz w:val="20"/>
                <w:szCs w:val="20"/>
              </w:rPr>
              <w:t>Voir ci-dessus</w:t>
            </w:r>
          </w:p>
        </w:tc>
        <w:tc>
          <w:tcPr>
            <w:tcW w:w="532" w:type="dxa"/>
            <w:tcBorders>
              <w:top w:val="nil"/>
              <w:bottom w:val="nil"/>
              <w:right w:val="nil"/>
            </w:tcBorders>
            <w:shd w:val="clear" w:color="auto" w:fill="auto"/>
          </w:tcPr>
          <w:p w14:paraId="05E5E539" w14:textId="77777777" w:rsidR="007C3226" w:rsidRPr="007132B1" w:rsidRDefault="007C3226">
            <w:pPr>
              <w:rPr>
                <w:b/>
                <w:lang w:val="de-CH"/>
              </w:rPr>
            </w:pPr>
          </w:p>
        </w:tc>
      </w:tr>
    </w:tbl>
    <w:p w14:paraId="0CDC8DB6" w14:textId="77777777" w:rsidR="00B33F4A" w:rsidRPr="007132B1" w:rsidRDefault="00B33F4A">
      <w:pPr>
        <w:rPr>
          <w:lang w:val="de-CH"/>
        </w:rPr>
      </w:pPr>
    </w:p>
    <w:p w14:paraId="04353F1C" w14:textId="77777777" w:rsidR="00B33F4A" w:rsidRDefault="00B67434">
      <w:pPr>
        <w:pStyle w:val="Titre1"/>
      </w:pPr>
      <w:bookmarkStart w:id="10" w:name="_Toc93667897"/>
      <w:r>
        <w:lastRenderedPageBreak/>
        <w:t xml:space="preserve">BR 07 </w:t>
      </w:r>
      <w:proofErr w:type="spellStart"/>
      <w:r w:rsidR="00522AB9">
        <w:t>Strukturverbesserungsverordnung</w:t>
      </w:r>
      <w:proofErr w:type="spellEnd"/>
      <w:r>
        <w:t xml:space="preserve"> / </w:t>
      </w:r>
      <w:r w:rsidR="008B5D61" w:rsidRPr="00050249">
        <w:t>Ordonnance sur les améliorations structurelles</w:t>
      </w:r>
      <w:r>
        <w:t xml:space="preserve"> / </w:t>
      </w:r>
      <w:proofErr w:type="spellStart"/>
      <w:r w:rsidR="002D15EF" w:rsidRPr="006157A9">
        <w:t>Ordinanza</w:t>
      </w:r>
      <w:proofErr w:type="spellEnd"/>
      <w:r w:rsidR="002D15EF" w:rsidRPr="006157A9">
        <w:t xml:space="preserve"> sui </w:t>
      </w:r>
      <w:proofErr w:type="spellStart"/>
      <w:r w:rsidR="002D15EF" w:rsidRPr="006157A9">
        <w:t>miglioramenti</w:t>
      </w:r>
      <w:proofErr w:type="spellEnd"/>
      <w:r w:rsidR="002D15EF" w:rsidRPr="006157A9">
        <w:t xml:space="preserve"> </w:t>
      </w:r>
      <w:proofErr w:type="spellStart"/>
      <w:r w:rsidR="002D15EF" w:rsidRPr="006157A9">
        <w:t>strutturali</w:t>
      </w:r>
      <w:proofErr w:type="spellEnd"/>
      <w:r w:rsidR="002D15EF">
        <w:t xml:space="preserve"> (913.1</w:t>
      </w:r>
      <w:r>
        <w:t>)</w:t>
      </w:r>
      <w:bookmarkEnd w:id="10"/>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74CE4A6E" w14:textId="77777777">
        <w:trPr>
          <w:tblHeader/>
        </w:trPr>
        <w:tc>
          <w:tcPr>
            <w:tcW w:w="14092" w:type="dxa"/>
            <w:tcBorders>
              <w:top w:val="single" w:sz="4" w:space="0" w:color="auto"/>
              <w:left w:val="single" w:sz="4" w:space="0" w:color="auto"/>
              <w:bottom w:val="nil"/>
              <w:right w:val="single" w:sz="4" w:space="0" w:color="auto"/>
            </w:tcBorders>
          </w:tcPr>
          <w:p w14:paraId="09C2CD4C"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114A91F6" w14:textId="77777777" w:rsidR="00B33F4A" w:rsidRDefault="00B33F4A">
            <w:pPr>
              <w:pStyle w:val="Betreff"/>
              <w:widowControl/>
              <w:spacing w:before="0" w:after="0" w:line="240" w:lineRule="auto"/>
            </w:pPr>
          </w:p>
        </w:tc>
      </w:tr>
      <w:tr w:rsidR="00B33F4A" w:rsidRPr="003F5D0C" w14:paraId="01A792A1"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290A436A" w14:textId="1EA5120B" w:rsidR="00B33F4A" w:rsidRPr="00F15583" w:rsidRDefault="00F15583">
            <w:r w:rsidRPr="00F15583">
              <w:t>Sur le principe, AGORA soutient cette rév</w:t>
            </w:r>
            <w:r>
              <w:t>ision totale de l’ordo</w:t>
            </w:r>
            <w:r w:rsidR="007C3226">
              <w:t>nnance apportant plus de clarté mais souhaite y apporter quelques adaptations.</w:t>
            </w:r>
          </w:p>
        </w:tc>
        <w:tc>
          <w:tcPr>
            <w:tcW w:w="532" w:type="dxa"/>
            <w:tcBorders>
              <w:top w:val="nil"/>
              <w:left w:val="single" w:sz="4" w:space="0" w:color="auto"/>
              <w:bottom w:val="nil"/>
              <w:right w:val="nil"/>
            </w:tcBorders>
            <w:shd w:val="clear" w:color="auto" w:fill="auto"/>
          </w:tcPr>
          <w:p w14:paraId="09C91141" w14:textId="77777777" w:rsidR="00B33F4A" w:rsidRPr="00F15583" w:rsidRDefault="00B33F4A">
            <w:pPr>
              <w:rPr>
                <w:b/>
              </w:rPr>
            </w:pPr>
          </w:p>
        </w:tc>
      </w:tr>
    </w:tbl>
    <w:p w14:paraId="14B0DDD1" w14:textId="77777777" w:rsidR="00B33F4A" w:rsidRPr="00F15583"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5D959D01" w14:textId="77777777" w:rsidTr="001F11FD">
        <w:trPr>
          <w:cantSplit/>
          <w:tblHeader/>
        </w:trPr>
        <w:tc>
          <w:tcPr>
            <w:tcW w:w="2943" w:type="dxa"/>
          </w:tcPr>
          <w:p w14:paraId="603A5EA9"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A4E6687"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6CC02534"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226025C4" w14:textId="77777777" w:rsidR="00B33F4A" w:rsidRPr="007132B1" w:rsidRDefault="00B33F4A">
            <w:pPr>
              <w:widowControl/>
              <w:spacing w:after="0" w:line="240" w:lineRule="auto"/>
              <w:rPr>
                <w:b/>
                <w:lang w:val="de-CH"/>
              </w:rPr>
            </w:pPr>
          </w:p>
        </w:tc>
      </w:tr>
      <w:tr w:rsidR="00B33F4A" w:rsidRPr="003F5D0C" w14:paraId="12C8BB36" w14:textId="77777777" w:rsidTr="001F11FD">
        <w:trPr>
          <w:cantSplit/>
        </w:trPr>
        <w:tc>
          <w:tcPr>
            <w:tcW w:w="2943" w:type="dxa"/>
          </w:tcPr>
          <w:p w14:paraId="4FB5102C" w14:textId="77777777" w:rsidR="00B33F4A" w:rsidRPr="00F15583" w:rsidRDefault="00F15583" w:rsidP="00F15583">
            <w:pPr>
              <w:pStyle w:val="Anhang"/>
              <w:tabs>
                <w:tab w:val="clear" w:pos="1276"/>
              </w:tabs>
              <w:spacing w:before="0" w:after="260"/>
              <w:outlineLvl w:val="9"/>
              <w:rPr>
                <w:lang w:val="fr-CH" w:eastAsia="de-CH"/>
              </w:rPr>
            </w:pPr>
            <w:r w:rsidRPr="00F15583">
              <w:rPr>
                <w:b/>
                <w:lang w:val="fr-CH" w:eastAsia="de-CH"/>
              </w:rPr>
              <w:t>Art. 1, al. 2</w:t>
            </w:r>
            <w:r w:rsidRPr="00F15583">
              <w:rPr>
                <w:lang w:val="fr-CH" w:eastAsia="de-CH"/>
              </w:rPr>
              <w:t xml:space="preserve"> </w:t>
            </w:r>
            <w:r>
              <w:rPr>
                <w:lang w:val="fr-CH" w:eastAsia="de-CH"/>
              </w:rPr>
              <w:t>(nouveau)</w:t>
            </w:r>
          </w:p>
        </w:tc>
        <w:tc>
          <w:tcPr>
            <w:tcW w:w="5529" w:type="dxa"/>
          </w:tcPr>
          <w:p w14:paraId="703A3588" w14:textId="77777777" w:rsidR="00B33F4A" w:rsidRPr="00F15583" w:rsidRDefault="00F15583">
            <w:pPr>
              <w:rPr>
                <w:b/>
              </w:rPr>
            </w:pPr>
            <w:r>
              <w:rPr>
                <w:b/>
              </w:rPr>
              <w:t>Elle définit les mesures de surveillance et de contrôle.</w:t>
            </w:r>
          </w:p>
        </w:tc>
        <w:tc>
          <w:tcPr>
            <w:tcW w:w="5620" w:type="dxa"/>
          </w:tcPr>
          <w:p w14:paraId="0424A28A" w14:textId="77777777" w:rsidR="00B33F4A" w:rsidRPr="00F15583" w:rsidRDefault="00F15583">
            <w:r>
              <w:t>Cet alinéa a été oublié dans la traduction en français.</w:t>
            </w:r>
          </w:p>
        </w:tc>
        <w:tc>
          <w:tcPr>
            <w:tcW w:w="532" w:type="dxa"/>
            <w:tcBorders>
              <w:top w:val="nil"/>
              <w:bottom w:val="nil"/>
              <w:right w:val="nil"/>
            </w:tcBorders>
            <w:shd w:val="clear" w:color="auto" w:fill="auto"/>
          </w:tcPr>
          <w:p w14:paraId="0C7C2CA0" w14:textId="77777777" w:rsidR="00B33F4A" w:rsidRPr="00F15583" w:rsidRDefault="00B33F4A">
            <w:pPr>
              <w:rPr>
                <w:b/>
              </w:rPr>
            </w:pPr>
          </w:p>
        </w:tc>
      </w:tr>
      <w:tr w:rsidR="00B33F4A" w:rsidRPr="003F5D0C" w14:paraId="74398716" w14:textId="77777777" w:rsidTr="001F11FD">
        <w:trPr>
          <w:cantSplit/>
        </w:trPr>
        <w:tc>
          <w:tcPr>
            <w:tcW w:w="2943" w:type="dxa"/>
          </w:tcPr>
          <w:p w14:paraId="39C2CC3A" w14:textId="77777777" w:rsidR="00B33F4A" w:rsidRPr="000D72D7" w:rsidRDefault="00F15583">
            <w:r w:rsidRPr="000D72D7">
              <w:rPr>
                <w:b/>
              </w:rPr>
              <w:t>Art. 3, al. 1, let. c</w:t>
            </w:r>
            <w:r w:rsidRPr="000D72D7">
              <w:t xml:space="preserve"> (nouveau)</w:t>
            </w:r>
          </w:p>
        </w:tc>
        <w:tc>
          <w:tcPr>
            <w:tcW w:w="5529" w:type="dxa"/>
          </w:tcPr>
          <w:p w14:paraId="01219D19" w14:textId="77777777" w:rsidR="00B33F4A" w:rsidRPr="00C21449" w:rsidRDefault="00C21449">
            <w:pPr>
              <w:rPr>
                <w:rFonts w:cs="Arial"/>
                <w:b/>
              </w:rPr>
            </w:pPr>
            <w:r w:rsidRPr="00637BC5">
              <w:rPr>
                <w:rFonts w:cs="Arial"/>
                <w:b/>
                <w:shd w:val="clear" w:color="auto" w:fill="FFFFFF"/>
              </w:rPr>
              <w:t xml:space="preserve">appartenant à des personnes </w:t>
            </w:r>
            <w:proofErr w:type="gramStart"/>
            <w:r w:rsidRPr="00637BC5">
              <w:rPr>
                <w:rFonts w:cs="Arial"/>
                <w:b/>
                <w:shd w:val="clear" w:color="auto" w:fill="FFFFFF"/>
              </w:rPr>
              <w:t>morales;</w:t>
            </w:r>
            <w:proofErr w:type="gramEnd"/>
            <w:r w:rsidRPr="00637BC5">
              <w:rPr>
                <w:rFonts w:cs="Arial"/>
                <w:b/>
                <w:shd w:val="clear" w:color="auto" w:fill="FFFFFF"/>
              </w:rPr>
              <w:t xml:space="preserve"> cette disposition ne s’applique pas aux sociétés de capitaux au sens de l’art. 3, al. 2, OPD.</w:t>
            </w:r>
          </w:p>
        </w:tc>
        <w:tc>
          <w:tcPr>
            <w:tcW w:w="5620" w:type="dxa"/>
          </w:tcPr>
          <w:p w14:paraId="01947B43" w14:textId="77777777" w:rsidR="00B33F4A" w:rsidRPr="000D72D7" w:rsidRDefault="00C21449">
            <w:r>
              <w:t>La restriction existante dans la version actuelle en ce qui concerne les personnes morales doit être conservée.</w:t>
            </w:r>
          </w:p>
        </w:tc>
        <w:tc>
          <w:tcPr>
            <w:tcW w:w="532" w:type="dxa"/>
            <w:tcBorders>
              <w:top w:val="nil"/>
              <w:bottom w:val="nil"/>
              <w:right w:val="nil"/>
            </w:tcBorders>
            <w:shd w:val="clear" w:color="auto" w:fill="auto"/>
          </w:tcPr>
          <w:p w14:paraId="38496F24" w14:textId="77777777" w:rsidR="00B33F4A" w:rsidRPr="000D72D7" w:rsidRDefault="00B33F4A">
            <w:pPr>
              <w:rPr>
                <w:b/>
              </w:rPr>
            </w:pPr>
          </w:p>
        </w:tc>
      </w:tr>
      <w:tr w:rsidR="00B33F4A" w:rsidRPr="003F5D0C" w14:paraId="4C8C5130" w14:textId="77777777" w:rsidTr="001F11FD">
        <w:trPr>
          <w:cantSplit/>
        </w:trPr>
        <w:tc>
          <w:tcPr>
            <w:tcW w:w="2943" w:type="dxa"/>
          </w:tcPr>
          <w:p w14:paraId="5E0041C3" w14:textId="77777777" w:rsidR="00B33F4A" w:rsidRPr="000D72D7" w:rsidRDefault="00C21449">
            <w:r>
              <w:t>Art. 6, al. 4</w:t>
            </w:r>
          </w:p>
        </w:tc>
        <w:tc>
          <w:tcPr>
            <w:tcW w:w="5529" w:type="dxa"/>
          </w:tcPr>
          <w:p w14:paraId="4AE7CFE6" w14:textId="77777777" w:rsidR="00B33F4A" w:rsidRPr="00C21449" w:rsidRDefault="00C21449">
            <w:r w:rsidRPr="00C21449">
              <w:t>S’agissant des mesures collectives, au moins deux e</w:t>
            </w:r>
            <w:r>
              <w:t>xploitations agricoles ou entre</w:t>
            </w:r>
            <w:r w:rsidRPr="00C21449">
              <w:t>prises d’horticulture productrice doivent atteindre une taille de 0,60 UMOS chacune</w:t>
            </w:r>
            <w:r w:rsidRPr="00C21449">
              <w:rPr>
                <w:b/>
              </w:rPr>
              <w:t>, à l’exception des entreprises des régions de montagne I à IV et</w:t>
            </w:r>
            <w:r>
              <w:t xml:space="preserve"> </w:t>
            </w:r>
            <w:r w:rsidRPr="00C21449">
              <w:rPr>
                <w:b/>
              </w:rPr>
              <w:t>des exploitations d’estivage</w:t>
            </w:r>
            <w:r>
              <w:t>.</w:t>
            </w:r>
          </w:p>
        </w:tc>
        <w:tc>
          <w:tcPr>
            <w:tcW w:w="5620" w:type="dxa"/>
          </w:tcPr>
          <w:p w14:paraId="3A1F8046" w14:textId="77777777" w:rsidR="00B33F4A" w:rsidRPr="000D72D7" w:rsidRDefault="00C21449">
            <w:r>
              <w:t>En montagne, il existe des mesures collectives ne reliant aucun site d’</w:t>
            </w:r>
            <w:r w:rsidR="00150A79">
              <w:t>exploitation principal, tel que des chemins ou des dessertes d’alpages. Il est important que ces mesures puissent continuer à être soutenues.</w:t>
            </w:r>
          </w:p>
        </w:tc>
        <w:tc>
          <w:tcPr>
            <w:tcW w:w="532" w:type="dxa"/>
            <w:tcBorders>
              <w:top w:val="nil"/>
              <w:bottom w:val="nil"/>
              <w:right w:val="nil"/>
            </w:tcBorders>
            <w:shd w:val="clear" w:color="auto" w:fill="auto"/>
          </w:tcPr>
          <w:p w14:paraId="6588CF79" w14:textId="77777777" w:rsidR="00B33F4A" w:rsidRPr="000D72D7" w:rsidRDefault="00B33F4A">
            <w:pPr>
              <w:rPr>
                <w:b/>
              </w:rPr>
            </w:pPr>
          </w:p>
        </w:tc>
      </w:tr>
      <w:tr w:rsidR="00B16F58" w:rsidRPr="003F5D0C" w14:paraId="3032C557" w14:textId="77777777" w:rsidTr="001F11FD">
        <w:trPr>
          <w:cantSplit/>
        </w:trPr>
        <w:tc>
          <w:tcPr>
            <w:tcW w:w="2943" w:type="dxa"/>
          </w:tcPr>
          <w:p w14:paraId="5AE00E11" w14:textId="155E9E4E" w:rsidR="00B16F58" w:rsidRPr="00B16F58" w:rsidRDefault="00B16F58">
            <w:r w:rsidRPr="00B16F58">
              <w:rPr>
                <w:b/>
              </w:rPr>
              <w:t>Art. 9, al. 5</w:t>
            </w:r>
            <w:r>
              <w:t xml:space="preserve"> (nouveau)</w:t>
            </w:r>
          </w:p>
        </w:tc>
        <w:tc>
          <w:tcPr>
            <w:tcW w:w="5529" w:type="dxa"/>
          </w:tcPr>
          <w:p w14:paraId="608898B6" w14:textId="19FCE15E" w:rsidR="00B16F58" w:rsidRPr="00B16F58" w:rsidRDefault="00B16F58">
            <w:pPr>
              <w:rPr>
                <w:rFonts w:cs="Arial"/>
                <w:b/>
              </w:rPr>
            </w:pPr>
            <w:r w:rsidRPr="00B16F58">
              <w:rPr>
                <w:rFonts w:cs="Arial"/>
                <w:b/>
                <w:shd w:val="clear" w:color="auto" w:fill="FFFFFF"/>
              </w:rPr>
              <w:t>Pour les projets engendrant des effets notables sur la concurrence, le canton peut auditionner les entreprises artisanales directement concernées et leurs organisations artisanales et les associations professionnelles dans la région d’approvisionnement pertinente au plan économique.</w:t>
            </w:r>
          </w:p>
        </w:tc>
        <w:tc>
          <w:tcPr>
            <w:tcW w:w="5620" w:type="dxa"/>
          </w:tcPr>
          <w:p w14:paraId="73576597" w14:textId="5D9BCBF9" w:rsidR="00B16F58" w:rsidRDefault="00B16F58">
            <w:r>
              <w:t>Nous souhaitons le maintien de cet alinéa faisant partie de l’ordonnance actuelle et constituant un excellent instrument de négociation permettant d’éviter certaines démarches juridiques.</w:t>
            </w:r>
          </w:p>
        </w:tc>
        <w:tc>
          <w:tcPr>
            <w:tcW w:w="532" w:type="dxa"/>
            <w:tcBorders>
              <w:top w:val="nil"/>
              <w:bottom w:val="nil"/>
              <w:right w:val="nil"/>
            </w:tcBorders>
            <w:shd w:val="clear" w:color="auto" w:fill="auto"/>
          </w:tcPr>
          <w:p w14:paraId="7AE14C23" w14:textId="77777777" w:rsidR="00B16F58" w:rsidRPr="000D72D7" w:rsidRDefault="00B16F58">
            <w:pPr>
              <w:rPr>
                <w:b/>
              </w:rPr>
            </w:pPr>
          </w:p>
        </w:tc>
      </w:tr>
      <w:tr w:rsidR="00B33F4A" w:rsidRPr="003F5D0C" w14:paraId="17830DEC" w14:textId="77777777" w:rsidTr="001F11FD">
        <w:trPr>
          <w:cantSplit/>
        </w:trPr>
        <w:tc>
          <w:tcPr>
            <w:tcW w:w="2943" w:type="dxa"/>
          </w:tcPr>
          <w:p w14:paraId="3E137E6C" w14:textId="77777777" w:rsidR="00B33F4A" w:rsidRPr="00012C6A" w:rsidRDefault="00012C6A">
            <w:r w:rsidRPr="00012C6A">
              <w:t xml:space="preserve">Art. 10, al. </w:t>
            </w:r>
            <w:r>
              <w:t>1, let. a</w:t>
            </w:r>
          </w:p>
        </w:tc>
        <w:tc>
          <w:tcPr>
            <w:tcW w:w="5529" w:type="dxa"/>
          </w:tcPr>
          <w:p w14:paraId="0CE5C2DD" w14:textId="77777777" w:rsidR="00B33F4A" w:rsidRPr="00012C6A" w:rsidRDefault="00012C6A">
            <w:r w:rsidRPr="00012C6A">
              <w:t>coûts de construction</w:t>
            </w:r>
            <w:r>
              <w:rPr>
                <w:b/>
              </w:rPr>
              <w:t>, y compris de possibles prestations propres et livraisons de matériaux</w:t>
            </w:r>
            <w:r w:rsidRPr="00012C6A">
              <w:t xml:space="preserve">, de planification, d’élaboration du projet et de direction des travaux, ainsi que les coûts de la mensuration officielle en lien avec le </w:t>
            </w:r>
            <w:proofErr w:type="gramStart"/>
            <w:r w:rsidRPr="00012C6A">
              <w:t>projet;</w:t>
            </w:r>
            <w:proofErr w:type="gramEnd"/>
          </w:p>
        </w:tc>
        <w:tc>
          <w:tcPr>
            <w:tcW w:w="5620" w:type="dxa"/>
          </w:tcPr>
          <w:p w14:paraId="657152A7" w14:textId="77777777" w:rsidR="00B33F4A" w:rsidRPr="00012C6A" w:rsidRDefault="00012C6A">
            <w:r>
              <w:t>A l’instar de ce qui est prévu dans l’ordonnance actuelle, les prestations propres et les livraisons de matériaux doivent continuer à être mentionnées explicitement.</w:t>
            </w:r>
          </w:p>
        </w:tc>
        <w:tc>
          <w:tcPr>
            <w:tcW w:w="532" w:type="dxa"/>
            <w:tcBorders>
              <w:top w:val="nil"/>
              <w:bottom w:val="nil"/>
              <w:right w:val="nil"/>
            </w:tcBorders>
            <w:shd w:val="clear" w:color="auto" w:fill="auto"/>
          </w:tcPr>
          <w:p w14:paraId="477CBD9D" w14:textId="77777777" w:rsidR="00B33F4A" w:rsidRPr="00012C6A" w:rsidRDefault="00B33F4A">
            <w:pPr>
              <w:rPr>
                <w:b/>
              </w:rPr>
            </w:pPr>
          </w:p>
        </w:tc>
      </w:tr>
      <w:tr w:rsidR="00B16F58" w:rsidRPr="003F5D0C" w14:paraId="3C03285F" w14:textId="77777777" w:rsidTr="001F11FD">
        <w:trPr>
          <w:cantSplit/>
        </w:trPr>
        <w:tc>
          <w:tcPr>
            <w:tcW w:w="2943" w:type="dxa"/>
          </w:tcPr>
          <w:p w14:paraId="3E308A9A" w14:textId="066058A5" w:rsidR="00B16F58" w:rsidRPr="00012C6A" w:rsidRDefault="00B16F58">
            <w:r w:rsidRPr="00B16F58">
              <w:rPr>
                <w:b/>
              </w:rPr>
              <w:lastRenderedPageBreak/>
              <w:t>Art. 10, al. 1, let. e</w:t>
            </w:r>
            <w:r>
              <w:t xml:space="preserve"> (nouveau)</w:t>
            </w:r>
          </w:p>
        </w:tc>
        <w:tc>
          <w:tcPr>
            <w:tcW w:w="5529" w:type="dxa"/>
          </w:tcPr>
          <w:p w14:paraId="6742061E" w14:textId="1C4B9810" w:rsidR="00B16F58" w:rsidRPr="00B16F58" w:rsidRDefault="00B16F58">
            <w:pPr>
              <w:rPr>
                <w:b/>
              </w:rPr>
            </w:pPr>
            <w:r>
              <w:rPr>
                <w:b/>
              </w:rPr>
              <w:t>frais d’électricité et de raccordement au haut débit</w:t>
            </w:r>
          </w:p>
        </w:tc>
        <w:tc>
          <w:tcPr>
            <w:tcW w:w="5620" w:type="dxa"/>
          </w:tcPr>
          <w:p w14:paraId="6AF1945F" w14:textId="75885867" w:rsidR="00B16F58" w:rsidRDefault="00B16F58">
            <w:r>
              <w:t>Avec la numérisation, ces frais font toujours plus partie de l’approvisionnement de base.</w:t>
            </w:r>
          </w:p>
        </w:tc>
        <w:tc>
          <w:tcPr>
            <w:tcW w:w="532" w:type="dxa"/>
            <w:tcBorders>
              <w:top w:val="nil"/>
              <w:bottom w:val="nil"/>
              <w:right w:val="nil"/>
            </w:tcBorders>
            <w:shd w:val="clear" w:color="auto" w:fill="auto"/>
          </w:tcPr>
          <w:p w14:paraId="50D5FACB" w14:textId="77777777" w:rsidR="00B16F58" w:rsidRPr="00012C6A" w:rsidRDefault="00B16F58">
            <w:pPr>
              <w:rPr>
                <w:b/>
              </w:rPr>
            </w:pPr>
          </w:p>
        </w:tc>
      </w:tr>
      <w:tr w:rsidR="00B33F4A" w:rsidRPr="003F5D0C" w14:paraId="38BEB654" w14:textId="77777777" w:rsidTr="001F11FD">
        <w:trPr>
          <w:cantSplit/>
        </w:trPr>
        <w:tc>
          <w:tcPr>
            <w:tcW w:w="2943" w:type="dxa"/>
          </w:tcPr>
          <w:p w14:paraId="19B9E111" w14:textId="77777777" w:rsidR="00B33F4A" w:rsidRPr="00012C6A" w:rsidRDefault="00012C6A">
            <w:r>
              <w:t>Art. 14, let. a</w:t>
            </w:r>
          </w:p>
        </w:tc>
        <w:tc>
          <w:tcPr>
            <w:tcW w:w="5529" w:type="dxa"/>
          </w:tcPr>
          <w:p w14:paraId="0AFC03D9" w14:textId="77777777" w:rsidR="00B33F4A" w:rsidRPr="00012C6A" w:rsidRDefault="00012C6A" w:rsidP="00012C6A">
            <w:pPr>
              <w:rPr>
                <w:strike/>
              </w:rPr>
            </w:pPr>
            <w:r w:rsidRPr="00012C6A">
              <w:rPr>
                <w:strike/>
              </w:rPr>
              <w:t xml:space="preserve">les mesures de reconstitution et de remplacement suite à des atteintes portées à des biotopes particulièrement sensibles au sens de l’art. 18, al. 1ter, de la loi fédérale du 1er juillet 1966 sur la protection de la nature et du paysage5 et les mesures de remplacement visées à l’art. 7 de la loi fédérale du 4 octobre 1985 sur les chemins pour piétons et les chemins de randonnée </w:t>
            </w:r>
            <w:proofErr w:type="gramStart"/>
            <w:r w:rsidRPr="00012C6A">
              <w:rPr>
                <w:strike/>
              </w:rPr>
              <w:t>pédestre;</w:t>
            </w:r>
            <w:proofErr w:type="gramEnd"/>
          </w:p>
        </w:tc>
        <w:tc>
          <w:tcPr>
            <w:tcW w:w="5620" w:type="dxa"/>
          </w:tcPr>
          <w:p w14:paraId="012C57EE" w14:textId="77777777" w:rsidR="00B33F4A" w:rsidRPr="00012C6A" w:rsidRDefault="00012C6A">
            <w:r>
              <w:t>Ces mesures n’ont pas à être soutenues par le budget agricole mais par ceux de la protection de la nature et de la mobilité.</w:t>
            </w:r>
          </w:p>
        </w:tc>
        <w:tc>
          <w:tcPr>
            <w:tcW w:w="532" w:type="dxa"/>
            <w:tcBorders>
              <w:top w:val="nil"/>
              <w:bottom w:val="nil"/>
              <w:right w:val="nil"/>
            </w:tcBorders>
            <w:shd w:val="clear" w:color="auto" w:fill="auto"/>
          </w:tcPr>
          <w:p w14:paraId="1D35EC80" w14:textId="77777777" w:rsidR="00B33F4A" w:rsidRPr="00012C6A" w:rsidRDefault="00B33F4A">
            <w:pPr>
              <w:rPr>
                <w:b/>
              </w:rPr>
            </w:pPr>
          </w:p>
        </w:tc>
      </w:tr>
      <w:tr w:rsidR="00B33F4A" w:rsidRPr="003F5D0C" w14:paraId="60AE0949" w14:textId="77777777" w:rsidTr="001F11FD">
        <w:trPr>
          <w:cantSplit/>
        </w:trPr>
        <w:tc>
          <w:tcPr>
            <w:tcW w:w="2943" w:type="dxa"/>
          </w:tcPr>
          <w:p w14:paraId="076592F7" w14:textId="77777777" w:rsidR="00B33F4A" w:rsidRPr="00012C6A" w:rsidRDefault="00012C6A">
            <w:r w:rsidRPr="00012C6A">
              <w:rPr>
                <w:b/>
              </w:rPr>
              <w:t>Art. 16, al. 1, let. d</w:t>
            </w:r>
            <w:r w:rsidRPr="00012C6A">
              <w:t xml:space="preserve"> (nouveau)</w:t>
            </w:r>
          </w:p>
        </w:tc>
        <w:tc>
          <w:tcPr>
            <w:tcW w:w="5529" w:type="dxa"/>
          </w:tcPr>
          <w:p w14:paraId="5EC3D2D0" w14:textId="77777777" w:rsidR="00B33F4A" w:rsidRPr="00012C6A" w:rsidRDefault="00012C6A">
            <w:pPr>
              <w:rPr>
                <w:b/>
              </w:rPr>
            </w:pPr>
            <w:r>
              <w:rPr>
                <w:b/>
              </w:rPr>
              <w:t>la construction et l’assainissement d’installations d’irrigation pour les cultures agricoles ;</w:t>
            </w:r>
          </w:p>
        </w:tc>
        <w:tc>
          <w:tcPr>
            <w:tcW w:w="5620" w:type="dxa"/>
          </w:tcPr>
          <w:p w14:paraId="197B6189" w14:textId="77777777" w:rsidR="00B33F4A" w:rsidRPr="00012C6A" w:rsidRDefault="00012C6A">
            <w:r>
              <w:t>La gestion de l’eau jouera un rôle toujours plus important à l’avenir et il est donc essentiel de pouvoir soutenir ce type de mesures.</w:t>
            </w:r>
          </w:p>
        </w:tc>
        <w:tc>
          <w:tcPr>
            <w:tcW w:w="532" w:type="dxa"/>
            <w:tcBorders>
              <w:top w:val="nil"/>
              <w:bottom w:val="nil"/>
              <w:right w:val="nil"/>
            </w:tcBorders>
            <w:shd w:val="clear" w:color="auto" w:fill="auto"/>
          </w:tcPr>
          <w:p w14:paraId="2D5994CB" w14:textId="77777777" w:rsidR="00B33F4A" w:rsidRPr="00012C6A" w:rsidRDefault="00B33F4A">
            <w:pPr>
              <w:rPr>
                <w:b/>
              </w:rPr>
            </w:pPr>
          </w:p>
        </w:tc>
      </w:tr>
      <w:tr w:rsidR="00B33F4A" w:rsidRPr="003F5D0C" w14:paraId="25DFF13F" w14:textId="77777777" w:rsidTr="001F11FD">
        <w:trPr>
          <w:cantSplit/>
        </w:trPr>
        <w:tc>
          <w:tcPr>
            <w:tcW w:w="2943" w:type="dxa"/>
          </w:tcPr>
          <w:p w14:paraId="0FA711AF" w14:textId="77777777" w:rsidR="00B33F4A" w:rsidRPr="00012C6A" w:rsidRDefault="00012C6A" w:rsidP="00012C6A">
            <w:r w:rsidRPr="00012C6A">
              <w:rPr>
                <w:b/>
              </w:rPr>
              <w:t xml:space="preserve">Art. 16, al. 1, let. </w:t>
            </w:r>
            <w:r>
              <w:rPr>
                <w:b/>
              </w:rPr>
              <w:t>e</w:t>
            </w:r>
            <w:r w:rsidRPr="00012C6A">
              <w:t xml:space="preserve"> (nouveau)</w:t>
            </w:r>
          </w:p>
        </w:tc>
        <w:tc>
          <w:tcPr>
            <w:tcW w:w="5529" w:type="dxa"/>
          </w:tcPr>
          <w:p w14:paraId="175E2A16" w14:textId="77777777" w:rsidR="00B33F4A" w:rsidRPr="00012C6A" w:rsidRDefault="00012C6A" w:rsidP="00012C6A">
            <w:r>
              <w:rPr>
                <w:b/>
              </w:rPr>
              <w:t>la construction et l’assainissement de drainage au sein de la surface agricole utile ;</w:t>
            </w:r>
          </w:p>
        </w:tc>
        <w:tc>
          <w:tcPr>
            <w:tcW w:w="5620" w:type="dxa"/>
          </w:tcPr>
          <w:p w14:paraId="12815AB9" w14:textId="77777777" w:rsidR="00B33F4A" w:rsidRPr="00012C6A" w:rsidRDefault="00012C6A">
            <w:r>
              <w:t>La gestion de l’eau jouera un rôle toujours plus important à l’avenir et il est donc essentiel de pouvoir soutenir ce type de mesures.</w:t>
            </w:r>
          </w:p>
        </w:tc>
        <w:tc>
          <w:tcPr>
            <w:tcW w:w="532" w:type="dxa"/>
            <w:tcBorders>
              <w:top w:val="nil"/>
              <w:bottom w:val="nil"/>
              <w:right w:val="nil"/>
            </w:tcBorders>
            <w:shd w:val="clear" w:color="auto" w:fill="auto"/>
          </w:tcPr>
          <w:p w14:paraId="07821EB0" w14:textId="77777777" w:rsidR="00B33F4A" w:rsidRPr="00012C6A" w:rsidRDefault="00B33F4A">
            <w:pPr>
              <w:rPr>
                <w:b/>
              </w:rPr>
            </w:pPr>
          </w:p>
        </w:tc>
      </w:tr>
      <w:tr w:rsidR="0037434A" w:rsidRPr="0037434A" w14:paraId="40F20304" w14:textId="77777777" w:rsidTr="001F11FD">
        <w:trPr>
          <w:cantSplit/>
        </w:trPr>
        <w:tc>
          <w:tcPr>
            <w:tcW w:w="2943" w:type="dxa"/>
          </w:tcPr>
          <w:p w14:paraId="4E18FBD4" w14:textId="1F6A8BF1" w:rsidR="0037434A" w:rsidRPr="0037434A" w:rsidRDefault="0037434A" w:rsidP="00012C6A">
            <w:r w:rsidRPr="0037434A">
              <w:t>Art. 18, al. 1</w:t>
            </w:r>
          </w:p>
        </w:tc>
        <w:tc>
          <w:tcPr>
            <w:tcW w:w="5529" w:type="dxa"/>
          </w:tcPr>
          <w:p w14:paraId="2F81D19A" w14:textId="4D113E87" w:rsidR="0037434A" w:rsidRPr="0037434A" w:rsidRDefault="0037434A" w:rsidP="00012C6A">
            <w:r>
              <w:t xml:space="preserve">Des aides financières sont octroyées pour les mesures individuelles si </w:t>
            </w:r>
            <w:r w:rsidRPr="0037434A">
              <w:rPr>
                <w:strike/>
              </w:rPr>
              <w:t xml:space="preserve">l’exploitation </w:t>
            </w:r>
            <w:proofErr w:type="gramStart"/>
            <w:r w:rsidRPr="0037434A">
              <w:rPr>
                <w:strike/>
              </w:rPr>
              <w:t>a</w:t>
            </w:r>
            <w:proofErr w:type="gramEnd"/>
            <w:r w:rsidRPr="0037434A">
              <w:rPr>
                <w:strike/>
              </w:rPr>
              <w:t xml:space="preserve"> droit aux paiements directs</w:t>
            </w:r>
            <w:r>
              <w:t xml:space="preserve"> </w:t>
            </w:r>
            <w:r>
              <w:rPr>
                <w:b/>
              </w:rPr>
              <w:t>les conditions d’octroi des paiements directs sont remplies</w:t>
            </w:r>
            <w:r>
              <w:t>.</w:t>
            </w:r>
          </w:p>
        </w:tc>
        <w:tc>
          <w:tcPr>
            <w:tcW w:w="5620" w:type="dxa"/>
          </w:tcPr>
          <w:p w14:paraId="2252D5C4" w14:textId="0439CE80" w:rsidR="0037434A" w:rsidRPr="0037434A" w:rsidRDefault="0037434A">
            <w:r>
              <w:t>L’exploitation et l’exploitant doivent satisfaire aux exigences.</w:t>
            </w:r>
          </w:p>
        </w:tc>
        <w:tc>
          <w:tcPr>
            <w:tcW w:w="532" w:type="dxa"/>
            <w:tcBorders>
              <w:top w:val="nil"/>
              <w:bottom w:val="nil"/>
              <w:right w:val="nil"/>
            </w:tcBorders>
            <w:shd w:val="clear" w:color="auto" w:fill="auto"/>
          </w:tcPr>
          <w:p w14:paraId="5EDF8B5B" w14:textId="77777777" w:rsidR="0037434A" w:rsidRPr="0037434A" w:rsidRDefault="0037434A"/>
        </w:tc>
      </w:tr>
      <w:tr w:rsidR="00B33F4A" w:rsidRPr="003F5D0C" w14:paraId="05613757" w14:textId="77777777" w:rsidTr="001F11FD">
        <w:trPr>
          <w:cantSplit/>
        </w:trPr>
        <w:tc>
          <w:tcPr>
            <w:tcW w:w="2943" w:type="dxa"/>
          </w:tcPr>
          <w:p w14:paraId="1B36D747" w14:textId="77777777" w:rsidR="00B33F4A" w:rsidRPr="00012C6A" w:rsidRDefault="00012C6A">
            <w:r w:rsidRPr="00012C6A">
              <w:t xml:space="preserve">Art. 18, al. </w:t>
            </w:r>
            <w:r>
              <w:t>2</w:t>
            </w:r>
          </w:p>
        </w:tc>
        <w:tc>
          <w:tcPr>
            <w:tcW w:w="5529" w:type="dxa"/>
          </w:tcPr>
          <w:p w14:paraId="21ED8D05" w14:textId="77777777" w:rsidR="00B33F4A" w:rsidRPr="00012C6A" w:rsidRDefault="00012C6A" w:rsidP="00012C6A">
            <w:r w:rsidRPr="00012C6A">
              <w:t>Si la fortune</w:t>
            </w:r>
            <w:r>
              <w:t xml:space="preserve"> </w:t>
            </w:r>
            <w:r>
              <w:rPr>
                <w:b/>
              </w:rPr>
              <w:t>corrigée</w:t>
            </w:r>
            <w:r w:rsidRPr="00012C6A">
              <w:t xml:space="preserve"> </w:t>
            </w:r>
            <w:r w:rsidRPr="00012C6A">
              <w:rPr>
                <w:strike/>
              </w:rPr>
              <w:t>imposable taxée</w:t>
            </w:r>
            <w:r w:rsidRPr="00012C6A">
              <w:t xml:space="preserve"> du requérant dépasse 1 000 000 francs avant l’investissement, la contribution est réduite de 5 000 francs par tranche supplémentaire de 20 000 francs.</w:t>
            </w:r>
          </w:p>
        </w:tc>
        <w:tc>
          <w:tcPr>
            <w:tcW w:w="5620" w:type="dxa"/>
          </w:tcPr>
          <w:p w14:paraId="3147C492" w14:textId="77777777" w:rsidR="00B33F4A" w:rsidRPr="00012C6A" w:rsidRDefault="00012C6A">
            <w:r>
              <w:t>Nous demandons de revenir au système appliqué jusqu’au 31 décembre 2020 en ce qui concerne la limite de fortune.</w:t>
            </w:r>
          </w:p>
        </w:tc>
        <w:tc>
          <w:tcPr>
            <w:tcW w:w="532" w:type="dxa"/>
            <w:tcBorders>
              <w:top w:val="nil"/>
              <w:bottom w:val="nil"/>
              <w:right w:val="nil"/>
            </w:tcBorders>
            <w:shd w:val="clear" w:color="auto" w:fill="auto"/>
          </w:tcPr>
          <w:p w14:paraId="294CE105" w14:textId="77777777" w:rsidR="00B33F4A" w:rsidRPr="00012C6A" w:rsidRDefault="00B33F4A">
            <w:pPr>
              <w:rPr>
                <w:b/>
              </w:rPr>
            </w:pPr>
          </w:p>
        </w:tc>
      </w:tr>
      <w:tr w:rsidR="000408E5" w:rsidRPr="003F5D0C" w14:paraId="3E2F3757" w14:textId="77777777" w:rsidTr="007132B1">
        <w:trPr>
          <w:cantSplit/>
        </w:trPr>
        <w:tc>
          <w:tcPr>
            <w:tcW w:w="2943" w:type="dxa"/>
          </w:tcPr>
          <w:p w14:paraId="294F9BE0" w14:textId="7F8633E1" w:rsidR="000408E5" w:rsidRPr="001F11FD" w:rsidRDefault="000408E5" w:rsidP="000408E5">
            <w:r w:rsidRPr="001F11FD">
              <w:lastRenderedPageBreak/>
              <w:t xml:space="preserve">Art. 20, al. </w:t>
            </w:r>
            <w:r>
              <w:t>1</w:t>
            </w:r>
          </w:p>
        </w:tc>
        <w:tc>
          <w:tcPr>
            <w:tcW w:w="5529" w:type="dxa"/>
          </w:tcPr>
          <w:p w14:paraId="6E1BB498" w14:textId="72B056A7" w:rsidR="000408E5" w:rsidRPr="001F11FD" w:rsidRDefault="000408E5" w:rsidP="007132B1">
            <w:pPr>
              <w:rPr>
                <w:b/>
              </w:rPr>
            </w:pPr>
            <w:r>
              <w:t>Des aides financières sont octroyées pour les installations d’irrigation lorsque l’installation sert à garantir le rendement lors de pertes quantitatives ou qualitatives avérées ou à protéger les cultures. La condition est une planification prospective des ressources en eau</w:t>
            </w:r>
            <w:r>
              <w:rPr>
                <w:b/>
              </w:rPr>
              <w:t>, de sorte à disposer, à moyen terme, de suffisamment d’eau pour la mesure prévue</w:t>
            </w:r>
            <w:r>
              <w:t>.</w:t>
            </w:r>
          </w:p>
        </w:tc>
        <w:tc>
          <w:tcPr>
            <w:tcW w:w="5620" w:type="dxa"/>
          </w:tcPr>
          <w:p w14:paraId="37EC0B5A" w14:textId="42F429E7" w:rsidR="000408E5" w:rsidRPr="001F11FD" w:rsidRDefault="000408E5" w:rsidP="007132B1">
            <w:r>
              <w:t>Il y a lieu de définir ce que l’on entend par planification prospective des ressources en eau.</w:t>
            </w:r>
          </w:p>
        </w:tc>
        <w:tc>
          <w:tcPr>
            <w:tcW w:w="532" w:type="dxa"/>
            <w:tcBorders>
              <w:top w:val="nil"/>
              <w:bottom w:val="nil"/>
              <w:right w:val="nil"/>
            </w:tcBorders>
            <w:shd w:val="clear" w:color="auto" w:fill="auto"/>
          </w:tcPr>
          <w:p w14:paraId="757C5754" w14:textId="77777777" w:rsidR="000408E5" w:rsidRPr="009B233A" w:rsidRDefault="000408E5" w:rsidP="007132B1">
            <w:pPr>
              <w:rPr>
                <w:b/>
              </w:rPr>
            </w:pPr>
          </w:p>
        </w:tc>
      </w:tr>
      <w:tr w:rsidR="000408E5" w:rsidRPr="003F5D0C" w14:paraId="6F43B90E" w14:textId="77777777" w:rsidTr="007132B1">
        <w:trPr>
          <w:cantSplit/>
        </w:trPr>
        <w:tc>
          <w:tcPr>
            <w:tcW w:w="2943" w:type="dxa"/>
          </w:tcPr>
          <w:p w14:paraId="1C3A644A" w14:textId="2C94A713" w:rsidR="000408E5" w:rsidRPr="001F11FD" w:rsidRDefault="000408E5" w:rsidP="000408E5">
            <w:r w:rsidRPr="001F11FD">
              <w:t xml:space="preserve">Art. 20, al. </w:t>
            </w:r>
            <w:r>
              <w:t>2</w:t>
            </w:r>
          </w:p>
        </w:tc>
        <w:tc>
          <w:tcPr>
            <w:tcW w:w="5529" w:type="dxa"/>
          </w:tcPr>
          <w:p w14:paraId="07261A8A" w14:textId="1D2A8007" w:rsidR="000408E5" w:rsidRPr="001F11FD" w:rsidRDefault="000408E5" w:rsidP="007132B1">
            <w:pPr>
              <w:rPr>
                <w:b/>
              </w:rPr>
            </w:pPr>
            <w:r>
              <w:t xml:space="preserve">Des aides financières pour installations de drainage sont versées pour la remise en état d’installations existantes dans les zones de rendement agricole </w:t>
            </w:r>
            <w:r>
              <w:rPr>
                <w:b/>
              </w:rPr>
              <w:t>importantes pour l’exploitation ou la région</w:t>
            </w:r>
            <w:r>
              <w:t xml:space="preserve"> </w:t>
            </w:r>
            <w:r w:rsidRPr="000408E5">
              <w:rPr>
                <w:strike/>
              </w:rPr>
              <w:t>d’importance régionale</w:t>
            </w:r>
            <w:r>
              <w:t xml:space="preserve"> ; dans les régions menacées par l’érosion ou en lien avec des revalorisations du sol en vue de la garantie de la qualité des surfaces d’assolement (SDA), la construction de nouvelles installations peut également être soutenue.</w:t>
            </w:r>
          </w:p>
        </w:tc>
        <w:tc>
          <w:tcPr>
            <w:tcW w:w="5620" w:type="dxa"/>
          </w:tcPr>
          <w:p w14:paraId="5BD4E7B0" w14:textId="17E8A29F" w:rsidR="000408E5" w:rsidRPr="001F11FD" w:rsidRDefault="000408E5" w:rsidP="007132B1">
            <w:r>
              <w:t>Les surfaces importantes pour l’exploitation doivent également être prises en compte.</w:t>
            </w:r>
          </w:p>
        </w:tc>
        <w:tc>
          <w:tcPr>
            <w:tcW w:w="532" w:type="dxa"/>
            <w:tcBorders>
              <w:top w:val="nil"/>
              <w:bottom w:val="nil"/>
              <w:right w:val="nil"/>
            </w:tcBorders>
            <w:shd w:val="clear" w:color="auto" w:fill="auto"/>
          </w:tcPr>
          <w:p w14:paraId="11C936B0" w14:textId="77777777" w:rsidR="000408E5" w:rsidRPr="009B233A" w:rsidRDefault="000408E5" w:rsidP="007132B1">
            <w:pPr>
              <w:rPr>
                <w:b/>
              </w:rPr>
            </w:pPr>
          </w:p>
        </w:tc>
      </w:tr>
      <w:tr w:rsidR="001F11FD" w:rsidRPr="003F5D0C" w14:paraId="1999B989" w14:textId="77777777" w:rsidTr="001F11FD">
        <w:trPr>
          <w:cantSplit/>
        </w:trPr>
        <w:tc>
          <w:tcPr>
            <w:tcW w:w="2943" w:type="dxa"/>
          </w:tcPr>
          <w:p w14:paraId="7D94B2C2" w14:textId="77777777" w:rsidR="001F11FD" w:rsidRPr="001F11FD" w:rsidRDefault="001F11FD">
            <w:r w:rsidRPr="001F11FD">
              <w:t>Art. 20, al. 3</w:t>
            </w:r>
          </w:p>
        </w:tc>
        <w:tc>
          <w:tcPr>
            <w:tcW w:w="5529" w:type="dxa"/>
          </w:tcPr>
          <w:p w14:paraId="4C9AB87C" w14:textId="77777777" w:rsidR="001F11FD" w:rsidRPr="001F11FD" w:rsidRDefault="001F11FD" w:rsidP="001F11FD">
            <w:pPr>
              <w:rPr>
                <w:b/>
              </w:rPr>
            </w:pPr>
            <w:r w:rsidRPr="001F11FD">
              <w:t>Des aides financières pour la revalorisation des sols concernés par des atteintes anthropogènes sont accordées en cas de difficultés accrues d’exploitation et de pertes avérées, à condition que la mesure conduise à une amélioration durable de la structure du sol, de sa composition et de son bilan hydrique.</w:t>
            </w:r>
            <w:r>
              <w:t xml:space="preserve"> </w:t>
            </w:r>
            <w:r>
              <w:rPr>
                <w:b/>
              </w:rPr>
              <w:t>Ceci concerne également les mesures permettant de diminuer l’impact global sur les sols telles que la mise en place de conduites à lisier souterraines.</w:t>
            </w:r>
          </w:p>
        </w:tc>
        <w:tc>
          <w:tcPr>
            <w:tcW w:w="5620" w:type="dxa"/>
          </w:tcPr>
          <w:p w14:paraId="66A43833" w14:textId="77777777" w:rsidR="001F11FD" w:rsidRPr="001F11FD" w:rsidRDefault="001F11FD" w:rsidP="001F11FD">
            <w:r w:rsidRPr="001F11FD">
              <w:t xml:space="preserve">La mise en place d’infrastructures de conduites à lisier souterraines permettra une diminution de l’impact sur </w:t>
            </w:r>
            <w:r>
              <w:t xml:space="preserve">les </w:t>
            </w:r>
            <w:r w:rsidRPr="001F11FD">
              <w:t>sols au niveau de la compaction (poids des tonneaux à lisier) et aura également un impact au niveau des émissions de CO</w:t>
            </w:r>
            <w:r w:rsidRPr="001F11FD">
              <w:rPr>
                <w:vertAlign w:val="subscript"/>
              </w:rPr>
              <w:t>2</w:t>
            </w:r>
            <w:r w:rsidRPr="001F11FD">
              <w:t>.</w:t>
            </w:r>
          </w:p>
        </w:tc>
        <w:tc>
          <w:tcPr>
            <w:tcW w:w="532" w:type="dxa"/>
            <w:tcBorders>
              <w:top w:val="nil"/>
              <w:bottom w:val="nil"/>
              <w:right w:val="nil"/>
            </w:tcBorders>
            <w:shd w:val="clear" w:color="auto" w:fill="auto"/>
          </w:tcPr>
          <w:p w14:paraId="450CDD7C" w14:textId="77777777" w:rsidR="001F11FD" w:rsidRPr="009B233A" w:rsidRDefault="001F11FD">
            <w:pPr>
              <w:rPr>
                <w:b/>
              </w:rPr>
            </w:pPr>
          </w:p>
        </w:tc>
      </w:tr>
      <w:tr w:rsidR="001F11FD" w:rsidRPr="003F5D0C" w14:paraId="4BC9A619" w14:textId="77777777" w:rsidTr="001F11FD">
        <w:trPr>
          <w:cantSplit/>
        </w:trPr>
        <w:tc>
          <w:tcPr>
            <w:tcW w:w="2943" w:type="dxa"/>
          </w:tcPr>
          <w:p w14:paraId="396F8E4B" w14:textId="77777777" w:rsidR="001F11FD" w:rsidRPr="009B233A" w:rsidRDefault="001F11FD" w:rsidP="001F11FD">
            <w:r w:rsidRPr="009B233A">
              <w:rPr>
                <w:b/>
              </w:rPr>
              <w:t>Art. 22, al. 1, let. c</w:t>
            </w:r>
            <w:r w:rsidRPr="009B233A">
              <w:t xml:space="preserve"> (nouveau)</w:t>
            </w:r>
          </w:p>
        </w:tc>
        <w:tc>
          <w:tcPr>
            <w:tcW w:w="5529" w:type="dxa"/>
          </w:tcPr>
          <w:p w14:paraId="07B29EB4" w14:textId="77777777" w:rsidR="001F11FD" w:rsidRPr="009B233A" w:rsidRDefault="001F11FD" w:rsidP="001F11FD">
            <w:pPr>
              <w:rPr>
                <w:b/>
              </w:rPr>
            </w:pPr>
            <w:r w:rsidRPr="009B233A">
              <w:rPr>
                <w:b/>
              </w:rPr>
              <w:t xml:space="preserve">les indemnités à des personnes participant à l’entreprise pour des droits de passage et de source et les indemnités </w:t>
            </w:r>
            <w:proofErr w:type="gramStart"/>
            <w:r w:rsidRPr="009B233A">
              <w:rPr>
                <w:b/>
              </w:rPr>
              <w:t>similaires;</w:t>
            </w:r>
            <w:proofErr w:type="gramEnd"/>
          </w:p>
        </w:tc>
        <w:tc>
          <w:tcPr>
            <w:tcW w:w="5620" w:type="dxa"/>
          </w:tcPr>
          <w:p w14:paraId="6A7F0F7E" w14:textId="77777777" w:rsidR="001F11FD" w:rsidRPr="009B233A" w:rsidRDefault="001F11FD" w:rsidP="001F11FD">
            <w:r>
              <w:t>Il n’est pas normal de ne pas reconnaître les coûts liés à une servitude dans les coûts imputables.</w:t>
            </w:r>
          </w:p>
        </w:tc>
        <w:tc>
          <w:tcPr>
            <w:tcW w:w="532" w:type="dxa"/>
            <w:tcBorders>
              <w:top w:val="nil"/>
              <w:bottom w:val="nil"/>
              <w:right w:val="nil"/>
            </w:tcBorders>
            <w:shd w:val="clear" w:color="auto" w:fill="auto"/>
          </w:tcPr>
          <w:p w14:paraId="27824624" w14:textId="77777777" w:rsidR="001F11FD" w:rsidRPr="009B233A" w:rsidRDefault="001F11FD" w:rsidP="001F11FD">
            <w:pPr>
              <w:rPr>
                <w:b/>
              </w:rPr>
            </w:pPr>
          </w:p>
        </w:tc>
      </w:tr>
      <w:tr w:rsidR="00B33F4A" w:rsidRPr="003F5D0C" w14:paraId="186DD614" w14:textId="77777777" w:rsidTr="001F11FD">
        <w:trPr>
          <w:cantSplit/>
        </w:trPr>
        <w:tc>
          <w:tcPr>
            <w:tcW w:w="2943" w:type="dxa"/>
          </w:tcPr>
          <w:p w14:paraId="11F5F0D1" w14:textId="77777777" w:rsidR="00B33F4A" w:rsidRPr="009B233A" w:rsidRDefault="009B233A" w:rsidP="001F11FD">
            <w:r w:rsidRPr="009B233A">
              <w:rPr>
                <w:b/>
              </w:rPr>
              <w:lastRenderedPageBreak/>
              <w:t xml:space="preserve">Art. 22, al. 1, let. </w:t>
            </w:r>
            <w:r w:rsidR="001F11FD">
              <w:rPr>
                <w:b/>
              </w:rPr>
              <w:t>d</w:t>
            </w:r>
            <w:r w:rsidRPr="009B233A">
              <w:t xml:space="preserve"> (nouveau)</w:t>
            </w:r>
          </w:p>
        </w:tc>
        <w:tc>
          <w:tcPr>
            <w:tcW w:w="5529" w:type="dxa"/>
          </w:tcPr>
          <w:p w14:paraId="23242C56" w14:textId="77777777" w:rsidR="00B33F4A" w:rsidRPr="001F11FD" w:rsidRDefault="001F11FD">
            <w:pPr>
              <w:rPr>
                <w:b/>
              </w:rPr>
            </w:pPr>
            <w:r w:rsidRPr="001F11FD">
              <w:rPr>
                <w:b/>
              </w:rPr>
              <w:t>les indemnité pour la transition entre Ancien état et le Nouvel état en phase de remaniement parcellaire d’envergure durant les 2 années de reconversion à l’agriculture biologique de parcelles non-exploitées selon les normes de l’agriculture biologique selon l’Ancien état, passant en main d’un agriculteur conduisant son exploitation selon les normes de l’agriculture biologique au Nouvel état.</w:t>
            </w:r>
          </w:p>
        </w:tc>
        <w:tc>
          <w:tcPr>
            <w:tcW w:w="5620" w:type="dxa"/>
          </w:tcPr>
          <w:p w14:paraId="3DC5B1BD" w14:textId="4EB2BA5B" w:rsidR="00B33F4A" w:rsidRPr="001F11FD" w:rsidRDefault="001F11FD" w:rsidP="001F11FD">
            <w:r w:rsidRPr="001F11FD">
              <w:t xml:space="preserve">Actuellement, lors d’un remaniement parcellaire, les parcelles non-exploitées en agriculture biologique redistribuées à des exploitations biologiques perdent le statut </w:t>
            </w:r>
            <w:r>
              <w:t>bio</w:t>
            </w:r>
            <w:r w:rsidRPr="001F11FD">
              <w:t xml:space="preserve"> et sont durant deux années en reconversion. Les pertes financières pour les exploitants peuvent être conséquentes, d’où l</w:t>
            </w:r>
            <w:r w:rsidR="003F5D0C">
              <w:t>a</w:t>
            </w:r>
            <w:r w:rsidRPr="001F11FD">
              <w:t xml:space="preserve"> proposition de mettre en place un</w:t>
            </w:r>
            <w:r w:rsidR="003F5D0C">
              <w:t>e</w:t>
            </w:r>
            <w:r w:rsidRPr="001F11FD">
              <w:t xml:space="preserve"> indemnité pour la compensation de la perte culture, uniquement lors d’un remaniement parcellaire (projet d’envergure).</w:t>
            </w:r>
          </w:p>
        </w:tc>
        <w:tc>
          <w:tcPr>
            <w:tcW w:w="532" w:type="dxa"/>
            <w:tcBorders>
              <w:top w:val="nil"/>
              <w:bottom w:val="nil"/>
              <w:right w:val="nil"/>
            </w:tcBorders>
            <w:shd w:val="clear" w:color="auto" w:fill="auto"/>
          </w:tcPr>
          <w:p w14:paraId="644078F9" w14:textId="77777777" w:rsidR="00B33F4A" w:rsidRPr="009B233A" w:rsidRDefault="00B33F4A">
            <w:pPr>
              <w:rPr>
                <w:b/>
              </w:rPr>
            </w:pPr>
          </w:p>
        </w:tc>
      </w:tr>
      <w:tr w:rsidR="00B33F4A" w:rsidRPr="009B233A" w14:paraId="1AC5A4AB" w14:textId="77777777" w:rsidTr="001F11FD">
        <w:trPr>
          <w:cantSplit/>
        </w:trPr>
        <w:tc>
          <w:tcPr>
            <w:tcW w:w="2943" w:type="dxa"/>
          </w:tcPr>
          <w:p w14:paraId="48BA8D24" w14:textId="77777777" w:rsidR="00B33F4A" w:rsidRPr="009B233A" w:rsidRDefault="009B233A">
            <w:r>
              <w:t>Art. 22, al. 2, let. c</w:t>
            </w:r>
          </w:p>
        </w:tc>
        <w:tc>
          <w:tcPr>
            <w:tcW w:w="5529" w:type="dxa"/>
          </w:tcPr>
          <w:p w14:paraId="37C569AE" w14:textId="77777777" w:rsidR="00B33F4A" w:rsidRPr="009B233A" w:rsidRDefault="009B233A">
            <w:pPr>
              <w:rPr>
                <w:strike/>
              </w:rPr>
            </w:pPr>
            <w:r w:rsidRPr="009B233A">
              <w:rPr>
                <w:strike/>
              </w:rPr>
              <w:t xml:space="preserve">les indemnités à des personnes participant à l’entreprise pour des droits de passage et de source et les indemnités </w:t>
            </w:r>
            <w:proofErr w:type="gramStart"/>
            <w:r w:rsidRPr="009B233A">
              <w:rPr>
                <w:strike/>
              </w:rPr>
              <w:t>similaires;</w:t>
            </w:r>
            <w:proofErr w:type="gramEnd"/>
          </w:p>
        </w:tc>
        <w:tc>
          <w:tcPr>
            <w:tcW w:w="5620" w:type="dxa"/>
          </w:tcPr>
          <w:p w14:paraId="2B741C9E" w14:textId="77777777" w:rsidR="00B33F4A" w:rsidRPr="009B233A" w:rsidRDefault="009B233A" w:rsidP="009B233A">
            <w:r>
              <w:t>Même remarque</w:t>
            </w:r>
          </w:p>
        </w:tc>
        <w:tc>
          <w:tcPr>
            <w:tcW w:w="532" w:type="dxa"/>
            <w:tcBorders>
              <w:top w:val="nil"/>
              <w:bottom w:val="nil"/>
              <w:right w:val="nil"/>
            </w:tcBorders>
            <w:shd w:val="clear" w:color="auto" w:fill="auto"/>
          </w:tcPr>
          <w:p w14:paraId="207A9C29" w14:textId="77777777" w:rsidR="00B33F4A" w:rsidRPr="009B233A" w:rsidRDefault="00B33F4A">
            <w:pPr>
              <w:rPr>
                <w:b/>
              </w:rPr>
            </w:pPr>
          </w:p>
        </w:tc>
      </w:tr>
      <w:tr w:rsidR="00F8397D" w:rsidRPr="009B233A" w14:paraId="3B97C7DC" w14:textId="77777777" w:rsidTr="001F11FD">
        <w:trPr>
          <w:cantSplit/>
        </w:trPr>
        <w:tc>
          <w:tcPr>
            <w:tcW w:w="2943" w:type="dxa"/>
          </w:tcPr>
          <w:p w14:paraId="443DB224" w14:textId="5C91D07A" w:rsidR="00F8397D" w:rsidRDefault="00F8397D">
            <w:r>
              <w:t>Art. 23, al. 1, let. d</w:t>
            </w:r>
          </w:p>
        </w:tc>
        <w:tc>
          <w:tcPr>
            <w:tcW w:w="5529" w:type="dxa"/>
          </w:tcPr>
          <w:p w14:paraId="0DE7DFEE" w14:textId="678D3343" w:rsidR="00F8397D" w:rsidRPr="00F8397D" w:rsidRDefault="00F8397D" w:rsidP="00F8397D">
            <w:pPr>
              <w:spacing w:line="240" w:lineRule="atLeast"/>
              <w:rPr>
                <w:b/>
              </w:rPr>
            </w:pPr>
            <w:r>
              <w:t xml:space="preserve">Bisses (conduites d’eau), par m de canal 100 </w:t>
            </w:r>
            <w:r>
              <w:rPr>
                <w:b/>
              </w:rPr>
              <w:t>ou par ha de surface irriguée 20 000</w:t>
            </w:r>
          </w:p>
        </w:tc>
        <w:tc>
          <w:tcPr>
            <w:tcW w:w="5620" w:type="dxa"/>
          </w:tcPr>
          <w:p w14:paraId="13866091" w14:textId="0A46EBB5" w:rsidR="00F8397D" w:rsidRDefault="00F8397D" w:rsidP="00F8397D">
            <w:r>
              <w:t>Le choix doit être donné entre un soutien par mètre de canal ou par ha de surface irriguée.</w:t>
            </w:r>
          </w:p>
        </w:tc>
        <w:tc>
          <w:tcPr>
            <w:tcW w:w="532" w:type="dxa"/>
            <w:tcBorders>
              <w:top w:val="nil"/>
              <w:bottom w:val="nil"/>
              <w:right w:val="nil"/>
            </w:tcBorders>
            <w:shd w:val="clear" w:color="auto" w:fill="auto"/>
          </w:tcPr>
          <w:p w14:paraId="25334982" w14:textId="77777777" w:rsidR="00F8397D" w:rsidRPr="009B233A" w:rsidRDefault="00F8397D">
            <w:pPr>
              <w:rPr>
                <w:b/>
              </w:rPr>
            </w:pPr>
          </w:p>
        </w:tc>
      </w:tr>
      <w:tr w:rsidR="00B33F4A" w:rsidRPr="003F5D0C" w14:paraId="2F2CC980" w14:textId="77777777" w:rsidTr="001F11FD">
        <w:trPr>
          <w:cantSplit/>
        </w:trPr>
        <w:tc>
          <w:tcPr>
            <w:tcW w:w="2943" w:type="dxa"/>
          </w:tcPr>
          <w:p w14:paraId="2B4AEA72" w14:textId="662AE7B2" w:rsidR="00B33F4A" w:rsidRPr="009B233A" w:rsidRDefault="009B233A">
            <w:r w:rsidRPr="009B233A">
              <w:t xml:space="preserve">Art. </w:t>
            </w:r>
            <w:r>
              <w:t>25, al. 1, let. a</w:t>
            </w:r>
          </w:p>
        </w:tc>
        <w:tc>
          <w:tcPr>
            <w:tcW w:w="5529" w:type="dxa"/>
          </w:tcPr>
          <w:p w14:paraId="7410E556" w14:textId="77777777" w:rsidR="00B33F4A" w:rsidRPr="009B233A" w:rsidRDefault="009B233A">
            <w:pPr>
              <w:rPr>
                <w:strike/>
              </w:rPr>
            </w:pPr>
            <w:r w:rsidRPr="009B233A">
              <w:rPr>
                <w:strike/>
              </w:rPr>
              <w:t xml:space="preserve">revalorisation de petits cours d’eau dans la zone </w:t>
            </w:r>
            <w:proofErr w:type="gramStart"/>
            <w:r w:rsidRPr="009B233A">
              <w:rPr>
                <w:strike/>
              </w:rPr>
              <w:t>agricole;</w:t>
            </w:r>
            <w:proofErr w:type="gramEnd"/>
          </w:p>
        </w:tc>
        <w:tc>
          <w:tcPr>
            <w:tcW w:w="5620" w:type="dxa"/>
          </w:tcPr>
          <w:p w14:paraId="473B10D9" w14:textId="77777777" w:rsidR="00B33F4A" w:rsidRPr="009B233A" w:rsidRDefault="009B233A" w:rsidP="009B233A">
            <w:r>
              <w:t>Ces mesures n’ont pas à être soutenues par le budget agricole mais par celui de la protection de la nature.</w:t>
            </w:r>
          </w:p>
        </w:tc>
        <w:tc>
          <w:tcPr>
            <w:tcW w:w="532" w:type="dxa"/>
            <w:tcBorders>
              <w:top w:val="nil"/>
              <w:bottom w:val="nil"/>
              <w:right w:val="nil"/>
            </w:tcBorders>
            <w:shd w:val="clear" w:color="auto" w:fill="auto"/>
          </w:tcPr>
          <w:p w14:paraId="4002315E" w14:textId="77777777" w:rsidR="00B33F4A" w:rsidRPr="009B233A" w:rsidRDefault="00B33F4A">
            <w:pPr>
              <w:rPr>
                <w:b/>
              </w:rPr>
            </w:pPr>
          </w:p>
        </w:tc>
      </w:tr>
      <w:tr w:rsidR="009B233A" w:rsidRPr="003F5D0C" w14:paraId="61E48B71" w14:textId="77777777" w:rsidTr="001F11FD">
        <w:trPr>
          <w:cantSplit/>
        </w:trPr>
        <w:tc>
          <w:tcPr>
            <w:tcW w:w="2943" w:type="dxa"/>
          </w:tcPr>
          <w:p w14:paraId="36BF267D" w14:textId="77777777" w:rsidR="009B233A" w:rsidRDefault="009B233A">
            <w:r>
              <w:t>Art. 36, al. 1</w:t>
            </w:r>
          </w:p>
        </w:tc>
        <w:tc>
          <w:tcPr>
            <w:tcW w:w="5529" w:type="dxa"/>
          </w:tcPr>
          <w:p w14:paraId="5E346319" w14:textId="77777777" w:rsidR="009B233A" w:rsidRPr="009B233A" w:rsidRDefault="009B233A">
            <w:r w:rsidRPr="009B233A">
              <w:t xml:space="preserve">Si la fortune </w:t>
            </w:r>
            <w:r>
              <w:rPr>
                <w:b/>
              </w:rPr>
              <w:t>corrigée</w:t>
            </w:r>
            <w:r w:rsidRPr="00012C6A">
              <w:t xml:space="preserve"> </w:t>
            </w:r>
            <w:r w:rsidRPr="00012C6A">
              <w:rPr>
                <w:strike/>
              </w:rPr>
              <w:t>imposable taxée</w:t>
            </w:r>
            <w:r w:rsidRPr="00012C6A">
              <w:t xml:space="preserve"> </w:t>
            </w:r>
            <w:r w:rsidRPr="009B233A">
              <w:t>du requérant dépasse</w:t>
            </w:r>
            <w:r>
              <w:t xml:space="preserve"> 1 000 000 francs avant l’inves</w:t>
            </w:r>
            <w:r w:rsidRPr="009B233A">
              <w:t>tissement, la contribution est réduite de 5 000 francs par tranche supplémentaire de 20 000 francs.</w:t>
            </w:r>
          </w:p>
        </w:tc>
        <w:tc>
          <w:tcPr>
            <w:tcW w:w="5620" w:type="dxa"/>
          </w:tcPr>
          <w:p w14:paraId="1ACAA02F" w14:textId="77777777" w:rsidR="009B233A" w:rsidRPr="009B233A" w:rsidRDefault="009B233A" w:rsidP="009B233A">
            <w:r>
              <w:t>Nous demandons de revenir au système appliqué jusqu’au 31 décembre 2020 en ce qui concerne la limite de fortune.</w:t>
            </w:r>
          </w:p>
        </w:tc>
        <w:tc>
          <w:tcPr>
            <w:tcW w:w="532" w:type="dxa"/>
            <w:tcBorders>
              <w:top w:val="nil"/>
              <w:bottom w:val="nil"/>
              <w:right w:val="nil"/>
            </w:tcBorders>
            <w:shd w:val="clear" w:color="auto" w:fill="auto"/>
          </w:tcPr>
          <w:p w14:paraId="6A6FE657" w14:textId="77777777" w:rsidR="009B233A" w:rsidRPr="009B233A" w:rsidRDefault="009B233A">
            <w:pPr>
              <w:rPr>
                <w:b/>
              </w:rPr>
            </w:pPr>
          </w:p>
        </w:tc>
      </w:tr>
      <w:tr w:rsidR="009B233A" w:rsidRPr="003F5D0C" w14:paraId="71416413" w14:textId="77777777" w:rsidTr="001F11FD">
        <w:trPr>
          <w:cantSplit/>
        </w:trPr>
        <w:tc>
          <w:tcPr>
            <w:tcW w:w="2943" w:type="dxa"/>
          </w:tcPr>
          <w:p w14:paraId="17C66736" w14:textId="77777777" w:rsidR="009B233A" w:rsidRPr="009B233A" w:rsidRDefault="009B233A">
            <w:r w:rsidRPr="009B233A">
              <w:rPr>
                <w:b/>
              </w:rPr>
              <w:t>Art. 47, al. 1, let. d</w:t>
            </w:r>
            <w:r w:rsidRPr="009B233A">
              <w:t xml:space="preserve"> (nouveau)</w:t>
            </w:r>
          </w:p>
        </w:tc>
        <w:tc>
          <w:tcPr>
            <w:tcW w:w="5529" w:type="dxa"/>
          </w:tcPr>
          <w:p w14:paraId="31725171" w14:textId="77777777" w:rsidR="009B233A" w:rsidRPr="009B233A" w:rsidRDefault="009B233A">
            <w:pPr>
              <w:rPr>
                <w:b/>
              </w:rPr>
            </w:pPr>
            <w:r w:rsidRPr="009B233A">
              <w:rPr>
                <w:b/>
              </w:rPr>
              <w:t>coûts de fondation ;</w:t>
            </w:r>
          </w:p>
        </w:tc>
        <w:tc>
          <w:tcPr>
            <w:tcW w:w="5620" w:type="dxa"/>
          </w:tcPr>
          <w:p w14:paraId="09AB3931" w14:textId="77777777" w:rsidR="009B233A" w:rsidRPr="009B233A" w:rsidRDefault="009B233A" w:rsidP="009B233A">
            <w:r>
              <w:t>Ces coûts sont mentionnés dans l’ordonnance actuelle et sont à conserver explicitement.</w:t>
            </w:r>
          </w:p>
        </w:tc>
        <w:tc>
          <w:tcPr>
            <w:tcW w:w="532" w:type="dxa"/>
            <w:tcBorders>
              <w:top w:val="nil"/>
              <w:bottom w:val="nil"/>
              <w:right w:val="nil"/>
            </w:tcBorders>
            <w:shd w:val="clear" w:color="auto" w:fill="auto"/>
          </w:tcPr>
          <w:p w14:paraId="08BDB7D0" w14:textId="77777777" w:rsidR="009B233A" w:rsidRPr="009B233A" w:rsidRDefault="009B233A">
            <w:pPr>
              <w:rPr>
                <w:b/>
              </w:rPr>
            </w:pPr>
          </w:p>
        </w:tc>
      </w:tr>
      <w:tr w:rsidR="009B233A" w:rsidRPr="003F5D0C" w14:paraId="4595179E" w14:textId="77777777" w:rsidTr="001F11FD">
        <w:trPr>
          <w:cantSplit/>
        </w:trPr>
        <w:tc>
          <w:tcPr>
            <w:tcW w:w="2943" w:type="dxa"/>
          </w:tcPr>
          <w:p w14:paraId="74A931F9" w14:textId="77777777" w:rsidR="009B233A" w:rsidRPr="009B233A" w:rsidRDefault="009B233A" w:rsidP="009B233A">
            <w:r w:rsidRPr="009B233A">
              <w:rPr>
                <w:b/>
              </w:rPr>
              <w:t xml:space="preserve">Art. 47, al. 1, let. </w:t>
            </w:r>
            <w:r>
              <w:rPr>
                <w:b/>
              </w:rPr>
              <w:t>e</w:t>
            </w:r>
            <w:r w:rsidRPr="009B233A">
              <w:t xml:space="preserve"> (nouveau)</w:t>
            </w:r>
          </w:p>
        </w:tc>
        <w:tc>
          <w:tcPr>
            <w:tcW w:w="5529" w:type="dxa"/>
          </w:tcPr>
          <w:p w14:paraId="19EF0E14" w14:textId="77777777" w:rsidR="009B233A" w:rsidRPr="009B233A" w:rsidRDefault="009B233A" w:rsidP="009B233A">
            <w:pPr>
              <w:rPr>
                <w:b/>
              </w:rPr>
            </w:pPr>
            <w:r w:rsidRPr="009B233A">
              <w:rPr>
                <w:b/>
              </w:rPr>
              <w:t xml:space="preserve">coûts </w:t>
            </w:r>
            <w:r>
              <w:rPr>
                <w:b/>
              </w:rPr>
              <w:t>pour l’achat de mobilier et d’aides.</w:t>
            </w:r>
          </w:p>
        </w:tc>
        <w:tc>
          <w:tcPr>
            <w:tcW w:w="5620" w:type="dxa"/>
          </w:tcPr>
          <w:p w14:paraId="02FBC90C" w14:textId="77777777" w:rsidR="009B233A" w:rsidRPr="009B233A" w:rsidRDefault="009B233A" w:rsidP="009B233A">
            <w:r>
              <w:t>Ces coûts sont mentionnés dans l’ordonnance actuelle et sont à conserver explicitement.</w:t>
            </w:r>
          </w:p>
        </w:tc>
        <w:tc>
          <w:tcPr>
            <w:tcW w:w="532" w:type="dxa"/>
            <w:tcBorders>
              <w:top w:val="nil"/>
              <w:bottom w:val="nil"/>
              <w:right w:val="nil"/>
            </w:tcBorders>
            <w:shd w:val="clear" w:color="auto" w:fill="auto"/>
          </w:tcPr>
          <w:p w14:paraId="105C722E" w14:textId="77777777" w:rsidR="009B233A" w:rsidRPr="009B233A" w:rsidRDefault="009B233A" w:rsidP="009B233A">
            <w:pPr>
              <w:rPr>
                <w:b/>
              </w:rPr>
            </w:pPr>
          </w:p>
        </w:tc>
      </w:tr>
      <w:tr w:rsidR="009B233A" w:rsidRPr="003F5D0C" w14:paraId="37AB40F7" w14:textId="77777777" w:rsidTr="001F11FD">
        <w:trPr>
          <w:cantSplit/>
        </w:trPr>
        <w:tc>
          <w:tcPr>
            <w:tcW w:w="2943" w:type="dxa"/>
          </w:tcPr>
          <w:p w14:paraId="03B7EF21" w14:textId="77777777" w:rsidR="009B233A" w:rsidRPr="009B233A" w:rsidRDefault="009B233A" w:rsidP="009B233A">
            <w:pPr>
              <w:rPr>
                <w:b/>
              </w:rPr>
            </w:pPr>
            <w:r w:rsidRPr="009B233A">
              <w:rPr>
                <w:b/>
              </w:rPr>
              <w:t xml:space="preserve">Art. </w:t>
            </w:r>
            <w:r>
              <w:rPr>
                <w:b/>
              </w:rPr>
              <w:t>60</w:t>
            </w:r>
            <w:r w:rsidRPr="009B233A">
              <w:rPr>
                <w:b/>
              </w:rPr>
              <w:t xml:space="preserve">, al. </w:t>
            </w:r>
            <w:r>
              <w:rPr>
                <w:b/>
              </w:rPr>
              <w:t>2</w:t>
            </w:r>
            <w:r w:rsidRPr="009B233A">
              <w:rPr>
                <w:b/>
              </w:rPr>
              <w:t xml:space="preserve">, let. </w:t>
            </w:r>
            <w:r>
              <w:rPr>
                <w:b/>
              </w:rPr>
              <w:t>g</w:t>
            </w:r>
            <w:r w:rsidRPr="009B233A">
              <w:t xml:space="preserve"> (nouveau)</w:t>
            </w:r>
          </w:p>
        </w:tc>
        <w:tc>
          <w:tcPr>
            <w:tcW w:w="5529" w:type="dxa"/>
          </w:tcPr>
          <w:p w14:paraId="425D7997" w14:textId="77777777" w:rsidR="009B233A" w:rsidRPr="009B233A" w:rsidRDefault="00B035EE" w:rsidP="009B233A">
            <w:pPr>
              <w:rPr>
                <w:b/>
              </w:rPr>
            </w:pPr>
            <w:r>
              <w:rPr>
                <w:b/>
              </w:rPr>
              <w:t>pour les machines et les véhicules.</w:t>
            </w:r>
          </w:p>
        </w:tc>
        <w:tc>
          <w:tcPr>
            <w:tcW w:w="5620" w:type="dxa"/>
          </w:tcPr>
          <w:p w14:paraId="170E5CF7" w14:textId="77777777" w:rsidR="009B233A" w:rsidRDefault="00B035EE" w:rsidP="00B035EE">
            <w:r>
              <w:t>Il n’est pas pertinent d’inscrire au registre foncier les machines et les véhicules.</w:t>
            </w:r>
          </w:p>
        </w:tc>
        <w:tc>
          <w:tcPr>
            <w:tcW w:w="532" w:type="dxa"/>
            <w:tcBorders>
              <w:top w:val="nil"/>
              <w:bottom w:val="nil"/>
              <w:right w:val="nil"/>
            </w:tcBorders>
            <w:shd w:val="clear" w:color="auto" w:fill="auto"/>
          </w:tcPr>
          <w:p w14:paraId="1D1131AB" w14:textId="77777777" w:rsidR="009B233A" w:rsidRPr="009B233A" w:rsidRDefault="009B233A" w:rsidP="009B233A">
            <w:pPr>
              <w:rPr>
                <w:b/>
              </w:rPr>
            </w:pPr>
          </w:p>
        </w:tc>
      </w:tr>
      <w:tr w:rsidR="00B035EE" w:rsidRPr="003F5D0C" w14:paraId="4048663B" w14:textId="77777777" w:rsidTr="001F11FD">
        <w:trPr>
          <w:cantSplit/>
        </w:trPr>
        <w:tc>
          <w:tcPr>
            <w:tcW w:w="2943" w:type="dxa"/>
          </w:tcPr>
          <w:p w14:paraId="3FE82763" w14:textId="77777777" w:rsidR="00B035EE" w:rsidRPr="00B035EE" w:rsidRDefault="00B035EE" w:rsidP="009B233A">
            <w:r w:rsidRPr="00B035EE">
              <w:lastRenderedPageBreak/>
              <w:t>Art. 61, al. 2</w:t>
            </w:r>
          </w:p>
        </w:tc>
        <w:tc>
          <w:tcPr>
            <w:tcW w:w="5529" w:type="dxa"/>
          </w:tcPr>
          <w:p w14:paraId="483BCAC5" w14:textId="77777777" w:rsidR="00B035EE" w:rsidRPr="00B035EE" w:rsidRDefault="00B035EE" w:rsidP="009B233A">
            <w:r w:rsidRPr="00B035EE">
              <w:t>S’il constate, dans l’exercice de la haute surveillance, une désaffecta</w:t>
            </w:r>
            <w:r>
              <w:t>tion non autori</w:t>
            </w:r>
            <w:r w:rsidRPr="00B035EE">
              <w:t>sée, une négligence</w:t>
            </w:r>
            <w:r>
              <w:t xml:space="preserve"> </w:t>
            </w:r>
            <w:r>
              <w:rPr>
                <w:b/>
              </w:rPr>
              <w:t>grave</w:t>
            </w:r>
            <w:r w:rsidRPr="00B035EE">
              <w:t xml:space="preserve"> de l’entretien ou de l’exploitation, des violations de dispositions légales, des aides financières indûment octroyées ou d’autres motifs de révocation, il peut ordonner au canton par voie de décision de rembourser le mon</w:t>
            </w:r>
            <w:r>
              <w:t>tant indûment oc</w:t>
            </w:r>
            <w:r w:rsidRPr="00B035EE">
              <w:t>troyé.</w:t>
            </w:r>
          </w:p>
        </w:tc>
        <w:tc>
          <w:tcPr>
            <w:tcW w:w="5620" w:type="dxa"/>
          </w:tcPr>
          <w:p w14:paraId="38DEBE2F" w14:textId="77777777" w:rsidR="00B035EE" w:rsidRPr="00B035EE" w:rsidRDefault="00B035EE" w:rsidP="00B035EE">
            <w:r>
              <w:t>La notion de négligence grave permet d’éviter une application disproportionnée de cette disposition.</w:t>
            </w:r>
          </w:p>
        </w:tc>
        <w:tc>
          <w:tcPr>
            <w:tcW w:w="532" w:type="dxa"/>
            <w:tcBorders>
              <w:top w:val="nil"/>
              <w:bottom w:val="nil"/>
              <w:right w:val="nil"/>
            </w:tcBorders>
            <w:shd w:val="clear" w:color="auto" w:fill="auto"/>
          </w:tcPr>
          <w:p w14:paraId="5432EA03" w14:textId="77777777" w:rsidR="00B035EE" w:rsidRPr="00B035EE" w:rsidRDefault="00B035EE" w:rsidP="009B233A"/>
        </w:tc>
      </w:tr>
      <w:tr w:rsidR="00B035EE" w:rsidRPr="003F5D0C" w14:paraId="0243173F" w14:textId="77777777" w:rsidTr="001F11FD">
        <w:trPr>
          <w:cantSplit/>
        </w:trPr>
        <w:tc>
          <w:tcPr>
            <w:tcW w:w="2943" w:type="dxa"/>
          </w:tcPr>
          <w:p w14:paraId="3486C9EA" w14:textId="77777777" w:rsidR="00B035EE" w:rsidRPr="00B035EE" w:rsidRDefault="00B035EE" w:rsidP="009B233A">
            <w:r>
              <w:t>Annexe 4, ch. 1, let. a</w:t>
            </w:r>
          </w:p>
        </w:tc>
        <w:tc>
          <w:tcPr>
            <w:tcW w:w="5529" w:type="dxa"/>
          </w:tcPr>
          <w:p w14:paraId="31FCDFBD" w14:textId="77777777" w:rsidR="00B035EE" w:rsidRPr="00B035EE" w:rsidRDefault="00B035EE" w:rsidP="009B233A">
            <w:pPr>
              <w:rPr>
                <w:strike/>
              </w:rPr>
            </w:pPr>
            <w:r w:rsidRPr="00B035EE">
              <w:rPr>
                <w:strike/>
              </w:rPr>
              <w:t>Revalorisation de petits cours d‘eau</w:t>
            </w:r>
          </w:p>
        </w:tc>
        <w:tc>
          <w:tcPr>
            <w:tcW w:w="5620" w:type="dxa"/>
          </w:tcPr>
          <w:p w14:paraId="4D20254F" w14:textId="77777777" w:rsidR="00B035EE" w:rsidRPr="00B035EE" w:rsidRDefault="00B035EE" w:rsidP="00B035EE">
            <w:r>
              <w:t>Ces mesures n’ont pas à être soutenues par le budget agricole mais par celui de la protection de la nature.</w:t>
            </w:r>
          </w:p>
        </w:tc>
        <w:tc>
          <w:tcPr>
            <w:tcW w:w="532" w:type="dxa"/>
            <w:tcBorders>
              <w:top w:val="nil"/>
              <w:bottom w:val="nil"/>
              <w:right w:val="nil"/>
            </w:tcBorders>
            <w:shd w:val="clear" w:color="auto" w:fill="auto"/>
          </w:tcPr>
          <w:p w14:paraId="654424C2" w14:textId="77777777" w:rsidR="00B035EE" w:rsidRPr="00B035EE" w:rsidRDefault="00B035EE" w:rsidP="009B233A"/>
        </w:tc>
      </w:tr>
      <w:tr w:rsidR="00B035EE" w:rsidRPr="003F5D0C" w14:paraId="3A59B1CC" w14:textId="77777777" w:rsidTr="001F11FD">
        <w:trPr>
          <w:cantSplit/>
        </w:trPr>
        <w:tc>
          <w:tcPr>
            <w:tcW w:w="2943" w:type="dxa"/>
          </w:tcPr>
          <w:p w14:paraId="62DF8D86" w14:textId="77777777" w:rsidR="00B035EE" w:rsidRDefault="00B035EE" w:rsidP="009B233A">
            <w:r>
              <w:t>Annexe 7, ch. 2.1</w:t>
            </w:r>
          </w:p>
        </w:tc>
        <w:tc>
          <w:tcPr>
            <w:tcW w:w="5529" w:type="dxa"/>
          </w:tcPr>
          <w:p w14:paraId="35452C05" w14:textId="77777777" w:rsidR="00B035EE" w:rsidRPr="00B035EE" w:rsidRDefault="00B035EE" w:rsidP="009B233A">
            <w:r w:rsidRPr="00B035EE">
              <w:t>Mettre le délai à fin 2030 et non 2024.</w:t>
            </w:r>
          </w:p>
        </w:tc>
        <w:tc>
          <w:tcPr>
            <w:tcW w:w="5620" w:type="dxa"/>
          </w:tcPr>
          <w:p w14:paraId="39B67A3B" w14:textId="77777777" w:rsidR="00B035EE" w:rsidRPr="00B035EE" w:rsidRDefault="00B035EE" w:rsidP="00B035EE">
            <w:r>
              <w:t>Par cohérence avec l’initiative parlementaire 19.475, il s’agit d’appliquer un délai à fin 2030 qui est aussi celui pour atteindre l’objectif de réduction.</w:t>
            </w:r>
          </w:p>
        </w:tc>
        <w:tc>
          <w:tcPr>
            <w:tcW w:w="532" w:type="dxa"/>
            <w:tcBorders>
              <w:top w:val="nil"/>
              <w:bottom w:val="nil"/>
              <w:right w:val="nil"/>
            </w:tcBorders>
            <w:shd w:val="clear" w:color="auto" w:fill="auto"/>
          </w:tcPr>
          <w:p w14:paraId="287C0F0A" w14:textId="77777777" w:rsidR="00B035EE" w:rsidRPr="00B035EE" w:rsidRDefault="00B035EE" w:rsidP="009B233A"/>
        </w:tc>
      </w:tr>
      <w:tr w:rsidR="00B16F58" w:rsidRPr="003F5D0C" w14:paraId="7D53021C" w14:textId="77777777" w:rsidTr="001F11FD">
        <w:trPr>
          <w:cantSplit/>
        </w:trPr>
        <w:tc>
          <w:tcPr>
            <w:tcW w:w="2943" w:type="dxa"/>
          </w:tcPr>
          <w:p w14:paraId="38477037" w14:textId="7484DF2F" w:rsidR="00B16F58" w:rsidRDefault="00B16F58" w:rsidP="009B233A">
            <w:r>
              <w:t>Annexe 7, ch. 2.2</w:t>
            </w:r>
          </w:p>
        </w:tc>
        <w:tc>
          <w:tcPr>
            <w:tcW w:w="5529" w:type="dxa"/>
          </w:tcPr>
          <w:p w14:paraId="27A8CD84" w14:textId="56DAD173" w:rsidR="00B16F58" w:rsidRPr="00B035EE" w:rsidRDefault="00B16F58" w:rsidP="009B233A">
            <w:r>
              <w:t>Reprendre les demandes de modifications demandées par l’USP pour ce chiffre.</w:t>
            </w:r>
          </w:p>
        </w:tc>
        <w:tc>
          <w:tcPr>
            <w:tcW w:w="5620" w:type="dxa"/>
          </w:tcPr>
          <w:p w14:paraId="11E10B23" w14:textId="36BA98A2" w:rsidR="00B16F58" w:rsidRDefault="00B16F58" w:rsidP="00B035EE">
            <w:r>
              <w:t>Les améliorations structurelles représentent un instrument essentiel pour la mise en œuvre de l’initiative parlementaire 19.475. C’est pourquoi il convient de soutenir d’avantage ces mesures.</w:t>
            </w:r>
          </w:p>
        </w:tc>
        <w:tc>
          <w:tcPr>
            <w:tcW w:w="532" w:type="dxa"/>
            <w:tcBorders>
              <w:top w:val="nil"/>
              <w:bottom w:val="nil"/>
              <w:right w:val="nil"/>
            </w:tcBorders>
            <w:shd w:val="clear" w:color="auto" w:fill="auto"/>
          </w:tcPr>
          <w:p w14:paraId="0174EA74" w14:textId="77777777" w:rsidR="00B16F58" w:rsidRPr="00B035EE" w:rsidRDefault="00B16F58" w:rsidP="009B233A"/>
        </w:tc>
      </w:tr>
    </w:tbl>
    <w:p w14:paraId="1E06BDAC" w14:textId="77777777" w:rsidR="00B33F4A" w:rsidRPr="008B5D61" w:rsidRDefault="00B67434">
      <w:pPr>
        <w:pStyle w:val="Titre1"/>
        <w:rPr>
          <w:lang w:val="it-CH"/>
        </w:rPr>
      </w:pPr>
      <w:bookmarkStart w:id="11" w:name="_Toc93667898"/>
      <w:r w:rsidRPr="008B5D61">
        <w:rPr>
          <w:lang w:val="it-CH"/>
        </w:rPr>
        <w:lastRenderedPageBreak/>
        <w:t xml:space="preserve">BR 08 </w:t>
      </w:r>
      <w:r w:rsidR="00522AB9" w:rsidRPr="008B5D61">
        <w:rPr>
          <w:lang w:val="it-CH"/>
        </w:rPr>
        <w:t>Verordnung über die sozialen Begleitmassnahmen in der Landwirtschaft</w:t>
      </w:r>
      <w:r w:rsidRPr="008B5D61">
        <w:rPr>
          <w:lang w:val="it-CH"/>
        </w:rPr>
        <w:t xml:space="preserve"> / </w:t>
      </w:r>
      <w:r w:rsidR="008B5D61" w:rsidRPr="008B5D61">
        <w:rPr>
          <w:lang w:val="it-CH"/>
        </w:rPr>
        <w:t>Ordonnance sur les mesures d’accompagnement social dans l’agriculture</w:t>
      </w:r>
      <w:r w:rsidRPr="008B5D61">
        <w:rPr>
          <w:lang w:val="it-CH"/>
        </w:rPr>
        <w:t xml:space="preserve"> / </w:t>
      </w:r>
      <w:r w:rsidR="002D15EF" w:rsidRPr="002D15EF">
        <w:rPr>
          <w:lang w:val="it-CH"/>
        </w:rPr>
        <w:t>Ordinanza concernente le misure sociali collaterali nell’agricoltura</w:t>
      </w:r>
      <w:r w:rsidR="002D15EF" w:rsidRPr="008B5D61">
        <w:rPr>
          <w:lang w:val="it-CH"/>
        </w:rPr>
        <w:t xml:space="preserve"> </w:t>
      </w:r>
      <w:r w:rsidRPr="008B5D61">
        <w:rPr>
          <w:lang w:val="it-CH"/>
        </w:rPr>
        <w:t>(</w:t>
      </w:r>
      <w:r w:rsidR="002D15EF">
        <w:rPr>
          <w:lang w:val="it-CH"/>
        </w:rPr>
        <w:t>914.11</w:t>
      </w:r>
      <w:r w:rsidRPr="008B5D61">
        <w:rPr>
          <w:lang w:val="it-CH"/>
        </w:rPr>
        <w:t>)</w:t>
      </w:r>
      <w:bookmarkEnd w:id="11"/>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50DD6D1F" w14:textId="77777777">
        <w:trPr>
          <w:tblHeader/>
        </w:trPr>
        <w:tc>
          <w:tcPr>
            <w:tcW w:w="14092" w:type="dxa"/>
            <w:tcBorders>
              <w:top w:val="single" w:sz="4" w:space="0" w:color="auto"/>
              <w:left w:val="single" w:sz="4" w:space="0" w:color="auto"/>
              <w:bottom w:val="nil"/>
              <w:right w:val="single" w:sz="4" w:space="0" w:color="auto"/>
            </w:tcBorders>
          </w:tcPr>
          <w:p w14:paraId="03A72BCE"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3F4839C7" w14:textId="77777777" w:rsidR="00B33F4A" w:rsidRDefault="00B33F4A">
            <w:pPr>
              <w:pStyle w:val="Betreff"/>
              <w:widowControl/>
              <w:spacing w:before="0" w:after="0" w:line="240" w:lineRule="auto"/>
            </w:pPr>
          </w:p>
        </w:tc>
      </w:tr>
      <w:tr w:rsidR="00B33F4A" w14:paraId="151AD1B6"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59B01254" w14:textId="77777777" w:rsidR="00B33F4A" w:rsidRDefault="00B035EE">
            <w:r>
              <w:t>Pas de remarque particulière</w:t>
            </w:r>
          </w:p>
        </w:tc>
        <w:tc>
          <w:tcPr>
            <w:tcW w:w="532" w:type="dxa"/>
            <w:tcBorders>
              <w:top w:val="nil"/>
              <w:left w:val="single" w:sz="4" w:space="0" w:color="auto"/>
              <w:bottom w:val="nil"/>
              <w:right w:val="nil"/>
            </w:tcBorders>
            <w:shd w:val="clear" w:color="auto" w:fill="auto"/>
          </w:tcPr>
          <w:p w14:paraId="52BC1913" w14:textId="77777777" w:rsidR="00B33F4A" w:rsidRDefault="00B33F4A">
            <w:pPr>
              <w:rPr>
                <w:b/>
              </w:rPr>
            </w:pPr>
          </w:p>
        </w:tc>
      </w:tr>
    </w:tbl>
    <w:p w14:paraId="40EBE47F"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1D38BE58" w14:textId="77777777">
        <w:trPr>
          <w:tblHeader/>
        </w:trPr>
        <w:tc>
          <w:tcPr>
            <w:tcW w:w="2943" w:type="dxa"/>
          </w:tcPr>
          <w:p w14:paraId="34A9AA83"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BFF3D47"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39DEB6E4"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301B2A76" w14:textId="77777777" w:rsidR="00B33F4A" w:rsidRPr="007132B1" w:rsidRDefault="00B33F4A">
            <w:pPr>
              <w:widowControl/>
              <w:spacing w:after="0" w:line="240" w:lineRule="auto"/>
              <w:rPr>
                <w:b/>
                <w:lang w:val="de-CH"/>
              </w:rPr>
            </w:pPr>
          </w:p>
        </w:tc>
      </w:tr>
      <w:tr w:rsidR="00B33F4A" w:rsidRPr="003F5D0C" w14:paraId="31E96B02" w14:textId="77777777">
        <w:tc>
          <w:tcPr>
            <w:tcW w:w="2943" w:type="dxa"/>
          </w:tcPr>
          <w:p w14:paraId="24EB08C4" w14:textId="77777777" w:rsidR="00B33F4A" w:rsidRPr="006157A9" w:rsidRDefault="00333EEF">
            <w:pPr>
              <w:pStyle w:val="Anhang"/>
              <w:tabs>
                <w:tab w:val="clear" w:pos="1276"/>
              </w:tabs>
              <w:spacing w:before="0" w:after="260"/>
              <w:outlineLvl w:val="9"/>
              <w:rPr>
                <w:lang w:val="de-CH" w:eastAsia="de-CH"/>
              </w:rPr>
            </w:pPr>
            <w:r>
              <w:rPr>
                <w:lang w:val="de-CH" w:eastAsia="de-CH"/>
              </w:rPr>
              <w:t>Art. 5, al. 1</w:t>
            </w:r>
          </w:p>
        </w:tc>
        <w:tc>
          <w:tcPr>
            <w:tcW w:w="5529" w:type="dxa"/>
          </w:tcPr>
          <w:p w14:paraId="67BC1607" w14:textId="77777777" w:rsidR="00B33F4A" w:rsidRPr="001F11FD" w:rsidRDefault="00333EEF">
            <w:pPr>
              <w:rPr>
                <w:rFonts w:cs="Arial"/>
              </w:rPr>
            </w:pPr>
            <w:r w:rsidRPr="001F11FD">
              <w:rPr>
                <w:rFonts w:cs="Arial"/>
                <w:shd w:val="clear" w:color="auto" w:fill="FFFFFF"/>
              </w:rPr>
              <w:t xml:space="preserve">Si la fortune </w:t>
            </w:r>
            <w:r w:rsidRPr="001F11FD">
              <w:rPr>
                <w:rFonts w:cs="Arial"/>
                <w:b/>
                <w:shd w:val="clear" w:color="auto" w:fill="FFFFFF"/>
              </w:rPr>
              <w:t>corrigée</w:t>
            </w:r>
            <w:r w:rsidRPr="001F11FD">
              <w:rPr>
                <w:rFonts w:cs="Arial"/>
                <w:shd w:val="clear" w:color="auto" w:fill="FFFFFF"/>
              </w:rPr>
              <w:t xml:space="preserve"> </w:t>
            </w:r>
            <w:r w:rsidRPr="001F11FD">
              <w:rPr>
                <w:rFonts w:cs="Arial"/>
                <w:strike/>
                <w:shd w:val="clear" w:color="auto" w:fill="FFFFFF"/>
              </w:rPr>
              <w:t>imposable taxée</w:t>
            </w:r>
            <w:r w:rsidRPr="001F11FD">
              <w:rPr>
                <w:rFonts w:cs="Arial"/>
                <w:shd w:val="clear" w:color="auto" w:fill="FFFFFF"/>
              </w:rPr>
              <w:t xml:space="preserve"> du requérant dépasse </w:t>
            </w:r>
            <w:r w:rsidRPr="001F11FD">
              <w:rPr>
                <w:rFonts w:cs="Arial"/>
                <w:strike/>
                <w:shd w:val="clear" w:color="auto" w:fill="FFFFFF"/>
              </w:rPr>
              <w:t>600 000</w:t>
            </w:r>
            <w:r w:rsidRPr="001F11FD">
              <w:rPr>
                <w:rFonts w:cs="Arial"/>
                <w:shd w:val="clear" w:color="auto" w:fill="FFFFFF"/>
              </w:rPr>
              <w:t> </w:t>
            </w:r>
            <w:r w:rsidRPr="001F11FD">
              <w:rPr>
                <w:rFonts w:cs="Arial"/>
                <w:b/>
                <w:shd w:val="clear" w:color="auto" w:fill="FFFFFF"/>
              </w:rPr>
              <w:t xml:space="preserve">1 000 000 </w:t>
            </w:r>
            <w:r w:rsidRPr="001F11FD">
              <w:rPr>
                <w:rFonts w:cs="Arial"/>
                <w:shd w:val="clear" w:color="auto" w:fill="FFFFFF"/>
              </w:rPr>
              <w:t>francs, aucun prêt au titre de l’aide aux exploitations n’est accordé en vertu de l’art. 1, al. 1, let. a et b.</w:t>
            </w:r>
          </w:p>
        </w:tc>
        <w:tc>
          <w:tcPr>
            <w:tcW w:w="5620" w:type="dxa"/>
          </w:tcPr>
          <w:p w14:paraId="35A5E7AE" w14:textId="77777777" w:rsidR="00B33F4A" w:rsidRPr="00333EEF" w:rsidRDefault="00333EEF">
            <w:r>
              <w:t>Nous demandons de revenir au système appliqué jusqu’au 31 décembre 2020 en ce qui concerne la limite de fortune.</w:t>
            </w:r>
          </w:p>
        </w:tc>
        <w:tc>
          <w:tcPr>
            <w:tcW w:w="532" w:type="dxa"/>
            <w:tcBorders>
              <w:top w:val="nil"/>
              <w:bottom w:val="nil"/>
              <w:right w:val="nil"/>
            </w:tcBorders>
            <w:shd w:val="clear" w:color="auto" w:fill="auto"/>
          </w:tcPr>
          <w:p w14:paraId="38B5CF95" w14:textId="77777777" w:rsidR="00B33F4A" w:rsidRPr="00333EEF" w:rsidRDefault="00B33F4A">
            <w:pPr>
              <w:rPr>
                <w:b/>
              </w:rPr>
            </w:pPr>
          </w:p>
        </w:tc>
      </w:tr>
    </w:tbl>
    <w:p w14:paraId="62BB0A6F" w14:textId="77777777" w:rsidR="00B33F4A" w:rsidRDefault="00B33F4A">
      <w:pPr>
        <w:rPr>
          <w:lang w:val="it-CH"/>
        </w:rPr>
      </w:pPr>
    </w:p>
    <w:p w14:paraId="3C8C34F1" w14:textId="77777777" w:rsidR="00B33F4A" w:rsidRPr="008B5D61" w:rsidRDefault="00B67434">
      <w:pPr>
        <w:pStyle w:val="Titre1"/>
        <w:rPr>
          <w:lang w:val="it-CH"/>
        </w:rPr>
      </w:pPr>
      <w:bookmarkStart w:id="12" w:name="_Toc93667899"/>
      <w:r w:rsidRPr="008B5D61">
        <w:rPr>
          <w:lang w:val="it-CH"/>
        </w:rPr>
        <w:lastRenderedPageBreak/>
        <w:t xml:space="preserve">BR 09 </w:t>
      </w:r>
      <w:r w:rsidR="00522AB9" w:rsidRPr="008B5D61">
        <w:rPr>
          <w:lang w:val="it-CH"/>
        </w:rPr>
        <w:t>Verordnung über die Ein- und Ausfuhr von Gemüse, Obst und Gartenbauerzeugnissen</w:t>
      </w:r>
      <w:r w:rsidRPr="008B5D61">
        <w:rPr>
          <w:lang w:val="it-CH"/>
        </w:rPr>
        <w:t xml:space="preserve"> / </w:t>
      </w:r>
      <w:r w:rsidR="008B5D61" w:rsidRPr="008B5D61">
        <w:rPr>
          <w:lang w:val="it-CH"/>
        </w:rPr>
        <w:t xml:space="preserve">Ordonnance sur l’importation et l’exportation de légumes, de fruits et de plantes horticoles </w:t>
      </w:r>
      <w:r w:rsidRPr="008B5D61">
        <w:rPr>
          <w:lang w:val="it-CH"/>
        </w:rPr>
        <w:t xml:space="preserve">/ </w:t>
      </w:r>
      <w:r w:rsidR="002D15EF" w:rsidRPr="002D15EF">
        <w:rPr>
          <w:lang w:val="it-CH"/>
        </w:rPr>
        <w:t>Ordinanza concernente l’importazione e l’esportazione di verdura, frutta e prodotti della floricoltura</w:t>
      </w:r>
      <w:r w:rsidR="002D15EF">
        <w:rPr>
          <w:lang w:val="it-CH"/>
        </w:rPr>
        <w:t xml:space="preserve"> </w:t>
      </w:r>
      <w:r w:rsidRPr="008B5D61">
        <w:rPr>
          <w:lang w:val="it-CH"/>
        </w:rPr>
        <w:t>(</w:t>
      </w:r>
      <w:r w:rsidR="002D15EF">
        <w:rPr>
          <w:lang w:val="it-CH"/>
        </w:rPr>
        <w:t>916.121.10</w:t>
      </w:r>
      <w:r w:rsidRPr="008B5D61">
        <w:rPr>
          <w:lang w:val="it-CH"/>
        </w:rPr>
        <w:t>)</w:t>
      </w:r>
      <w:bookmarkEnd w:id="12"/>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3BB7E010" w14:textId="77777777">
        <w:trPr>
          <w:tblHeader/>
        </w:trPr>
        <w:tc>
          <w:tcPr>
            <w:tcW w:w="14092" w:type="dxa"/>
            <w:tcBorders>
              <w:top w:val="single" w:sz="4" w:space="0" w:color="auto"/>
              <w:left w:val="single" w:sz="4" w:space="0" w:color="auto"/>
              <w:bottom w:val="nil"/>
              <w:right w:val="single" w:sz="4" w:space="0" w:color="auto"/>
            </w:tcBorders>
          </w:tcPr>
          <w:p w14:paraId="69D7DB9D"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1910FC9D" w14:textId="77777777" w:rsidR="00B33F4A" w:rsidRDefault="00B33F4A">
            <w:pPr>
              <w:pStyle w:val="Betreff"/>
              <w:widowControl/>
              <w:spacing w:before="0" w:after="0" w:line="240" w:lineRule="auto"/>
            </w:pPr>
          </w:p>
        </w:tc>
      </w:tr>
      <w:tr w:rsidR="00B33F4A" w14:paraId="3A7A494E"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181B952A" w14:textId="77777777" w:rsidR="00B33F4A" w:rsidRDefault="00333EEF">
            <w:r>
              <w:t>Pas de remarque particulière</w:t>
            </w:r>
          </w:p>
        </w:tc>
        <w:tc>
          <w:tcPr>
            <w:tcW w:w="532" w:type="dxa"/>
            <w:tcBorders>
              <w:top w:val="nil"/>
              <w:left w:val="single" w:sz="4" w:space="0" w:color="auto"/>
              <w:bottom w:val="nil"/>
              <w:right w:val="nil"/>
            </w:tcBorders>
            <w:shd w:val="clear" w:color="auto" w:fill="auto"/>
          </w:tcPr>
          <w:p w14:paraId="75362D71" w14:textId="77777777" w:rsidR="00B33F4A" w:rsidRDefault="00B33F4A">
            <w:pPr>
              <w:rPr>
                <w:b/>
              </w:rPr>
            </w:pPr>
          </w:p>
        </w:tc>
      </w:tr>
    </w:tbl>
    <w:p w14:paraId="005AF58E"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4A9616AB" w14:textId="77777777">
        <w:trPr>
          <w:tblHeader/>
        </w:trPr>
        <w:tc>
          <w:tcPr>
            <w:tcW w:w="2943" w:type="dxa"/>
          </w:tcPr>
          <w:p w14:paraId="3C8AEF40"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909399A"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31F39885"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692EFC68" w14:textId="77777777" w:rsidR="00B33F4A" w:rsidRPr="007132B1" w:rsidRDefault="00B33F4A">
            <w:pPr>
              <w:widowControl/>
              <w:spacing w:after="0" w:line="240" w:lineRule="auto"/>
              <w:rPr>
                <w:b/>
                <w:lang w:val="de-CH"/>
              </w:rPr>
            </w:pPr>
          </w:p>
        </w:tc>
      </w:tr>
      <w:tr w:rsidR="00B33F4A" w:rsidRPr="00971C09" w14:paraId="68D4B827" w14:textId="77777777">
        <w:tc>
          <w:tcPr>
            <w:tcW w:w="2943" w:type="dxa"/>
          </w:tcPr>
          <w:p w14:paraId="7AF085BE" w14:textId="77777777" w:rsidR="00B33F4A" w:rsidRPr="006157A9" w:rsidRDefault="00B33F4A">
            <w:pPr>
              <w:pStyle w:val="Anhang"/>
              <w:tabs>
                <w:tab w:val="clear" w:pos="1276"/>
              </w:tabs>
              <w:spacing w:before="0" w:after="260"/>
              <w:outlineLvl w:val="9"/>
              <w:rPr>
                <w:lang w:val="de-CH" w:eastAsia="de-CH"/>
              </w:rPr>
            </w:pPr>
          </w:p>
        </w:tc>
        <w:tc>
          <w:tcPr>
            <w:tcW w:w="5529" w:type="dxa"/>
          </w:tcPr>
          <w:p w14:paraId="7847D23D" w14:textId="77777777" w:rsidR="00B33F4A" w:rsidRPr="007132B1" w:rsidRDefault="00B33F4A">
            <w:pPr>
              <w:rPr>
                <w:lang w:val="de-CH"/>
              </w:rPr>
            </w:pPr>
          </w:p>
        </w:tc>
        <w:tc>
          <w:tcPr>
            <w:tcW w:w="5620" w:type="dxa"/>
          </w:tcPr>
          <w:p w14:paraId="7659770D" w14:textId="77777777" w:rsidR="00B33F4A" w:rsidRPr="007132B1" w:rsidRDefault="00B33F4A">
            <w:pPr>
              <w:rPr>
                <w:lang w:val="de-CH"/>
              </w:rPr>
            </w:pPr>
          </w:p>
        </w:tc>
        <w:tc>
          <w:tcPr>
            <w:tcW w:w="532" w:type="dxa"/>
            <w:tcBorders>
              <w:top w:val="nil"/>
              <w:bottom w:val="nil"/>
              <w:right w:val="nil"/>
            </w:tcBorders>
            <w:shd w:val="clear" w:color="auto" w:fill="auto"/>
          </w:tcPr>
          <w:p w14:paraId="61392887" w14:textId="77777777" w:rsidR="00B33F4A" w:rsidRPr="007132B1" w:rsidRDefault="00B33F4A">
            <w:pPr>
              <w:rPr>
                <w:b/>
                <w:lang w:val="de-CH"/>
              </w:rPr>
            </w:pPr>
          </w:p>
        </w:tc>
      </w:tr>
    </w:tbl>
    <w:p w14:paraId="43A9ACB3" w14:textId="77777777" w:rsidR="00B33F4A" w:rsidRDefault="00B33F4A">
      <w:pPr>
        <w:rPr>
          <w:lang w:val="it-CH"/>
        </w:rPr>
      </w:pPr>
    </w:p>
    <w:p w14:paraId="5F532485" w14:textId="77777777" w:rsidR="00B33F4A" w:rsidRDefault="00B67434">
      <w:pPr>
        <w:pStyle w:val="Titre1"/>
        <w:rPr>
          <w:lang w:val="it-CH"/>
        </w:rPr>
      </w:pPr>
      <w:bookmarkStart w:id="13" w:name="_Toc93667900"/>
      <w:r>
        <w:rPr>
          <w:lang w:val="it-CH"/>
        </w:rPr>
        <w:lastRenderedPageBreak/>
        <w:t xml:space="preserve">BR 10 </w:t>
      </w:r>
      <w:r w:rsidR="00522AB9" w:rsidRPr="008B5D61">
        <w:rPr>
          <w:lang w:val="it-CH"/>
        </w:rPr>
        <w:t xml:space="preserve">Weinverordnung </w:t>
      </w:r>
      <w:r>
        <w:rPr>
          <w:lang w:val="it-CH"/>
        </w:rPr>
        <w:t xml:space="preserve">/ </w:t>
      </w:r>
      <w:r w:rsidR="008B5D61" w:rsidRPr="008B5D61">
        <w:rPr>
          <w:lang w:val="it-CH"/>
        </w:rPr>
        <w:t xml:space="preserve">Ordonnance sur le vin </w:t>
      </w:r>
      <w:r>
        <w:rPr>
          <w:lang w:val="it-CH"/>
        </w:rPr>
        <w:t xml:space="preserve">/ </w:t>
      </w:r>
      <w:r w:rsidR="002D15EF" w:rsidRPr="002D15EF">
        <w:rPr>
          <w:lang w:val="it-CH"/>
        </w:rPr>
        <w:t xml:space="preserve">Ordinanza sul vino </w:t>
      </w:r>
      <w:r>
        <w:rPr>
          <w:lang w:val="it-CH"/>
        </w:rPr>
        <w:t>(</w:t>
      </w:r>
      <w:r w:rsidR="002D15EF">
        <w:rPr>
          <w:lang w:val="it-CH"/>
        </w:rPr>
        <w:t>916.140</w:t>
      </w:r>
      <w:r>
        <w:rPr>
          <w:lang w:val="it-CH"/>
        </w:rPr>
        <w:t>)</w:t>
      </w:r>
      <w:bookmarkEnd w:id="1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026A4C2E" w14:textId="77777777">
        <w:trPr>
          <w:tblHeader/>
        </w:trPr>
        <w:tc>
          <w:tcPr>
            <w:tcW w:w="14092" w:type="dxa"/>
            <w:tcBorders>
              <w:top w:val="single" w:sz="4" w:space="0" w:color="auto"/>
              <w:left w:val="single" w:sz="4" w:space="0" w:color="auto"/>
              <w:bottom w:val="nil"/>
              <w:right w:val="single" w:sz="4" w:space="0" w:color="auto"/>
            </w:tcBorders>
          </w:tcPr>
          <w:p w14:paraId="13ACE5D3"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6AF98B85" w14:textId="77777777" w:rsidR="00B33F4A" w:rsidRDefault="00B33F4A">
            <w:pPr>
              <w:pStyle w:val="Betreff"/>
              <w:widowControl/>
              <w:spacing w:before="0" w:after="0" w:line="240" w:lineRule="auto"/>
            </w:pPr>
          </w:p>
        </w:tc>
      </w:tr>
      <w:tr w:rsidR="00B33F4A" w:rsidRPr="00333EEF" w14:paraId="2955C7C1"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42F932B0" w14:textId="1A6C8957" w:rsidR="00B33F4A" w:rsidRPr="00333EEF" w:rsidRDefault="0064509D" w:rsidP="0064509D">
            <w:r>
              <w:t>La réserve climatique fait partie des demandes récurrente de la branche et il s’agit d’enfin lui donner une base légale. Par ailleurs, certaines adaptations sont nécessaires afin de faire correspondre l’ordonnance et les besoins de la pratique.</w:t>
            </w:r>
          </w:p>
        </w:tc>
        <w:tc>
          <w:tcPr>
            <w:tcW w:w="532" w:type="dxa"/>
            <w:tcBorders>
              <w:top w:val="nil"/>
              <w:left w:val="single" w:sz="4" w:space="0" w:color="auto"/>
              <w:bottom w:val="nil"/>
              <w:right w:val="nil"/>
            </w:tcBorders>
            <w:shd w:val="clear" w:color="auto" w:fill="auto"/>
          </w:tcPr>
          <w:p w14:paraId="6D1A69B2" w14:textId="77777777" w:rsidR="00B33F4A" w:rsidRPr="00333EEF" w:rsidRDefault="00B33F4A">
            <w:pPr>
              <w:rPr>
                <w:b/>
              </w:rPr>
            </w:pPr>
          </w:p>
        </w:tc>
      </w:tr>
    </w:tbl>
    <w:p w14:paraId="5ADCF4C7" w14:textId="77777777" w:rsidR="00B33F4A" w:rsidRPr="00333EEF"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781D9212" w14:textId="77777777">
        <w:trPr>
          <w:tblHeader/>
        </w:trPr>
        <w:tc>
          <w:tcPr>
            <w:tcW w:w="2943" w:type="dxa"/>
          </w:tcPr>
          <w:p w14:paraId="69A762F0"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558B7990"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62C36420"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7CE4FF28" w14:textId="77777777" w:rsidR="00B33F4A" w:rsidRPr="007132B1" w:rsidRDefault="00B33F4A">
            <w:pPr>
              <w:widowControl/>
              <w:spacing w:after="0" w:line="240" w:lineRule="auto"/>
              <w:rPr>
                <w:b/>
                <w:lang w:val="de-CH"/>
              </w:rPr>
            </w:pPr>
          </w:p>
        </w:tc>
      </w:tr>
      <w:tr w:rsidR="00653B51" w:rsidRPr="003F5D0C" w14:paraId="3DE2E8ED" w14:textId="77777777">
        <w:tc>
          <w:tcPr>
            <w:tcW w:w="2943" w:type="dxa"/>
          </w:tcPr>
          <w:p w14:paraId="681F0302" w14:textId="31607606" w:rsidR="00653B51" w:rsidRPr="00B571A3" w:rsidRDefault="00653B51" w:rsidP="00653B51">
            <w:pPr>
              <w:rPr>
                <w:lang w:val="de-CH"/>
              </w:rPr>
            </w:pPr>
            <w:r>
              <w:rPr>
                <w:lang w:val="it-CH"/>
              </w:rPr>
              <w:t>Art. 3, al. 1, let. a</w:t>
            </w:r>
          </w:p>
        </w:tc>
        <w:tc>
          <w:tcPr>
            <w:tcW w:w="5529" w:type="dxa"/>
          </w:tcPr>
          <w:p w14:paraId="08C355C5" w14:textId="5C9C94E0" w:rsidR="00653B51" w:rsidRPr="00B571A3" w:rsidRDefault="00653B51" w:rsidP="00653B51">
            <w:pPr>
              <w:rPr>
                <w:rFonts w:cs="Arial"/>
                <w:shd w:val="clear" w:color="auto" w:fill="FFFFFF"/>
              </w:rPr>
            </w:pPr>
            <w:r w:rsidRPr="00CB2168">
              <w:rPr>
                <w:rFonts w:cs="Arial"/>
                <w:shd w:val="clear" w:color="auto" w:fill="FFFFFF"/>
              </w:rPr>
              <w:t>si une surface de vigne a été arrachée et qu’elle est plantée à nouveau dans un délai</w:t>
            </w:r>
            <w:r>
              <w:rPr>
                <w:rFonts w:cs="Arial"/>
                <w:b/>
                <w:shd w:val="clear" w:color="auto" w:fill="FFFFFF"/>
              </w:rPr>
              <w:t xml:space="preserve"> fixé par l’autorité cantonale en charge du cadastre viticole</w:t>
            </w:r>
            <w:r w:rsidRPr="00CB2168">
              <w:rPr>
                <w:rFonts w:cs="Arial"/>
                <w:shd w:val="clear" w:color="auto" w:fill="FFFFFF"/>
              </w:rPr>
              <w:t xml:space="preserve"> </w:t>
            </w:r>
            <w:r w:rsidRPr="00CB2168">
              <w:rPr>
                <w:rFonts w:cs="Arial"/>
                <w:strike/>
                <w:shd w:val="clear" w:color="auto" w:fill="FFFFFF"/>
              </w:rPr>
              <w:t xml:space="preserve">inférieur à dix </w:t>
            </w:r>
            <w:proofErr w:type="gramStart"/>
            <w:r w:rsidRPr="00CB2168">
              <w:rPr>
                <w:rFonts w:cs="Arial"/>
                <w:strike/>
                <w:shd w:val="clear" w:color="auto" w:fill="FFFFFF"/>
              </w:rPr>
              <w:t>ans</w:t>
            </w:r>
            <w:r w:rsidRPr="00CB2168">
              <w:rPr>
                <w:rFonts w:cs="Arial"/>
                <w:shd w:val="clear" w:color="auto" w:fill="FFFFFF"/>
              </w:rPr>
              <w:t>;</w:t>
            </w:r>
            <w:proofErr w:type="gramEnd"/>
          </w:p>
        </w:tc>
        <w:tc>
          <w:tcPr>
            <w:tcW w:w="5620" w:type="dxa"/>
          </w:tcPr>
          <w:p w14:paraId="48BE2B93" w14:textId="7E084743" w:rsidR="00653B51" w:rsidRDefault="00653B51" w:rsidP="00653B51">
            <w:r w:rsidRPr="0064509D">
              <w:t>Nous demandons la suppression de ce délai de 10 ans qui n’a pas d’impact sur la qualité du vignoble. Le fait de donner cette compétence au canton, qui est également en charge des règles AOC, permet de coller au plus près du contexte régional.</w:t>
            </w:r>
          </w:p>
        </w:tc>
        <w:tc>
          <w:tcPr>
            <w:tcW w:w="532" w:type="dxa"/>
            <w:tcBorders>
              <w:top w:val="nil"/>
              <w:bottom w:val="nil"/>
              <w:right w:val="nil"/>
            </w:tcBorders>
            <w:shd w:val="clear" w:color="auto" w:fill="auto"/>
          </w:tcPr>
          <w:p w14:paraId="429A8B68" w14:textId="77777777" w:rsidR="00653B51" w:rsidRPr="00333EEF" w:rsidRDefault="00653B51" w:rsidP="00653B51">
            <w:pPr>
              <w:rPr>
                <w:b/>
              </w:rPr>
            </w:pPr>
          </w:p>
        </w:tc>
      </w:tr>
      <w:tr w:rsidR="00653B51" w:rsidRPr="003F5D0C" w14:paraId="056E1C11" w14:textId="77777777">
        <w:tc>
          <w:tcPr>
            <w:tcW w:w="2943" w:type="dxa"/>
          </w:tcPr>
          <w:p w14:paraId="67844417" w14:textId="5FBA78DC" w:rsidR="00653B51" w:rsidRDefault="00653B51" w:rsidP="00653B51">
            <w:pPr>
              <w:rPr>
                <w:lang w:val="it-CH"/>
              </w:rPr>
            </w:pPr>
            <w:r>
              <w:rPr>
                <w:lang w:val="it-CH"/>
              </w:rPr>
              <w:t>Art. 5, al. 2</w:t>
            </w:r>
          </w:p>
        </w:tc>
        <w:tc>
          <w:tcPr>
            <w:tcW w:w="5529" w:type="dxa"/>
          </w:tcPr>
          <w:p w14:paraId="58351D91" w14:textId="0FBB70BC" w:rsidR="00653B51" w:rsidRPr="00CB2168" w:rsidRDefault="00653B51" w:rsidP="00653B51">
            <w:pPr>
              <w:rPr>
                <w:rFonts w:cs="Arial"/>
                <w:shd w:val="clear" w:color="auto" w:fill="FFFFFF"/>
              </w:rPr>
            </w:pPr>
            <w:r w:rsidRPr="00CB2168">
              <w:rPr>
                <w:rFonts w:cs="Arial"/>
                <w:strike/>
                <w:shd w:val="clear" w:color="auto" w:fill="FFFFFF"/>
              </w:rPr>
              <w:t>Si l’exploitation d’une surface viticole est interrompue durant plus de dix ans, l’autorisation n’est plus valable.</w:t>
            </w:r>
          </w:p>
        </w:tc>
        <w:tc>
          <w:tcPr>
            <w:tcW w:w="5620" w:type="dxa"/>
          </w:tcPr>
          <w:p w14:paraId="08BC1D25" w14:textId="24E0837D" w:rsidR="00653B51" w:rsidRPr="00CB2168" w:rsidRDefault="00653B51" w:rsidP="00653B51">
            <w:pPr>
              <w:rPr>
                <w:lang w:val="de-CH"/>
              </w:rPr>
            </w:pPr>
            <w:proofErr w:type="spellStart"/>
            <w:r>
              <w:rPr>
                <w:lang w:val="de-CH"/>
              </w:rPr>
              <w:t>Voir</w:t>
            </w:r>
            <w:proofErr w:type="spellEnd"/>
            <w:r>
              <w:rPr>
                <w:lang w:val="de-CH"/>
              </w:rPr>
              <w:t xml:space="preserve"> </w:t>
            </w:r>
            <w:proofErr w:type="spellStart"/>
            <w:r>
              <w:rPr>
                <w:lang w:val="de-CH"/>
              </w:rPr>
              <w:t>remarque</w:t>
            </w:r>
            <w:proofErr w:type="spellEnd"/>
            <w:r>
              <w:rPr>
                <w:lang w:val="de-CH"/>
              </w:rPr>
              <w:t xml:space="preserve"> ci-</w:t>
            </w:r>
            <w:proofErr w:type="spellStart"/>
            <w:r>
              <w:rPr>
                <w:lang w:val="de-CH"/>
              </w:rPr>
              <w:t>dessus</w:t>
            </w:r>
            <w:proofErr w:type="spellEnd"/>
            <w:r>
              <w:rPr>
                <w:lang w:val="de-CH"/>
              </w:rPr>
              <w:t>.</w:t>
            </w:r>
          </w:p>
        </w:tc>
        <w:tc>
          <w:tcPr>
            <w:tcW w:w="532" w:type="dxa"/>
            <w:tcBorders>
              <w:top w:val="nil"/>
              <w:bottom w:val="nil"/>
              <w:right w:val="nil"/>
            </w:tcBorders>
            <w:shd w:val="clear" w:color="auto" w:fill="auto"/>
          </w:tcPr>
          <w:p w14:paraId="33B6C346" w14:textId="77777777" w:rsidR="00653B51" w:rsidRPr="00333EEF" w:rsidRDefault="00653B51" w:rsidP="00653B51">
            <w:pPr>
              <w:rPr>
                <w:b/>
              </w:rPr>
            </w:pPr>
          </w:p>
        </w:tc>
      </w:tr>
      <w:tr w:rsidR="00653B51" w:rsidRPr="003F5D0C" w14:paraId="24551A64" w14:textId="77777777">
        <w:tc>
          <w:tcPr>
            <w:tcW w:w="2943" w:type="dxa"/>
          </w:tcPr>
          <w:p w14:paraId="07E79AA8" w14:textId="3AEDDB63" w:rsidR="00653B51" w:rsidRDefault="00653B51" w:rsidP="00653B51">
            <w:pPr>
              <w:rPr>
                <w:lang w:val="it-CH"/>
              </w:rPr>
            </w:pPr>
            <w:r>
              <w:rPr>
                <w:lang w:val="it-CH"/>
              </w:rPr>
              <w:t>Art. 22, al. 1, let. b</w:t>
            </w:r>
          </w:p>
        </w:tc>
        <w:tc>
          <w:tcPr>
            <w:tcW w:w="5529" w:type="dxa"/>
          </w:tcPr>
          <w:p w14:paraId="5B24D940" w14:textId="52063F1A" w:rsidR="00653B51" w:rsidRPr="00CB2168" w:rsidRDefault="00653B51" w:rsidP="00653B51">
            <w:pPr>
              <w:rPr>
                <w:rFonts w:cs="Arial"/>
                <w:strike/>
                <w:shd w:val="clear" w:color="auto" w:fill="FFFFFF"/>
              </w:rPr>
            </w:pPr>
            <w:r w:rsidRPr="002B1998">
              <w:rPr>
                <w:rFonts w:cs="Arial"/>
                <w:shd w:val="clear" w:color="auto" w:fill="FFFFFF"/>
              </w:rPr>
              <w:t>la teneur minimale naturelle requise en sucre est 14,4 °</w:t>
            </w:r>
            <w:proofErr w:type="spellStart"/>
            <w:r w:rsidRPr="002B1998">
              <w:rPr>
                <w:rFonts w:cs="Arial"/>
                <w:shd w:val="clear" w:color="auto" w:fill="FFFFFF"/>
              </w:rPr>
              <w:t>Brix</w:t>
            </w:r>
            <w:proofErr w:type="spellEnd"/>
            <w:r w:rsidRPr="002B1998">
              <w:rPr>
                <w:rFonts w:cs="Arial"/>
                <w:b/>
                <w:shd w:val="clear" w:color="auto" w:fill="FFFFFF"/>
              </w:rPr>
              <w:t>/</w:t>
            </w:r>
            <w:r>
              <w:rPr>
                <w:rFonts w:cs="Arial"/>
                <w:b/>
                <w:shd w:val="clear" w:color="auto" w:fill="FFFFFF"/>
              </w:rPr>
              <w:t>58,5</w:t>
            </w:r>
            <w:r w:rsidRPr="002B1998">
              <w:rPr>
                <w:rFonts w:cs="Arial"/>
                <w:b/>
                <w:shd w:val="clear" w:color="auto" w:fill="FFFFFF"/>
              </w:rPr>
              <w:t xml:space="preserve">° </w:t>
            </w:r>
            <w:proofErr w:type="spellStart"/>
            <w:r w:rsidRPr="002B1998">
              <w:rPr>
                <w:rFonts w:cs="Arial"/>
                <w:b/>
                <w:shd w:val="clear" w:color="auto" w:fill="FFFFFF"/>
              </w:rPr>
              <w:t>Oechsle</w:t>
            </w:r>
            <w:proofErr w:type="spellEnd"/>
            <w:r w:rsidRPr="002B1998">
              <w:rPr>
                <w:rFonts w:cs="Arial"/>
                <w:shd w:val="clear" w:color="auto" w:fill="FFFFFF"/>
              </w:rPr>
              <w:t xml:space="preserve"> pour les raisins de cépages blancs et de 15,2 °</w:t>
            </w:r>
            <w:proofErr w:type="spellStart"/>
            <w:r w:rsidRPr="002B1998">
              <w:rPr>
                <w:rFonts w:cs="Arial"/>
                <w:shd w:val="clear" w:color="auto" w:fill="FFFFFF"/>
              </w:rPr>
              <w:t>Brix</w:t>
            </w:r>
            <w:proofErr w:type="spellEnd"/>
            <w:r w:rsidRPr="002B1998">
              <w:rPr>
                <w:rFonts w:cs="Arial"/>
                <w:b/>
                <w:shd w:val="clear" w:color="auto" w:fill="FFFFFF"/>
              </w:rPr>
              <w:t>/</w:t>
            </w:r>
            <w:r>
              <w:rPr>
                <w:rFonts w:cs="Arial"/>
                <w:b/>
                <w:shd w:val="clear" w:color="auto" w:fill="FFFFFF"/>
              </w:rPr>
              <w:t>61,9</w:t>
            </w:r>
            <w:r w:rsidRPr="002B1998">
              <w:rPr>
                <w:rFonts w:cs="Arial"/>
                <w:b/>
                <w:shd w:val="clear" w:color="auto" w:fill="FFFFFF"/>
              </w:rPr>
              <w:t xml:space="preserve">° </w:t>
            </w:r>
            <w:proofErr w:type="spellStart"/>
            <w:r w:rsidRPr="002B1998">
              <w:rPr>
                <w:rFonts w:cs="Arial"/>
                <w:b/>
                <w:shd w:val="clear" w:color="auto" w:fill="FFFFFF"/>
              </w:rPr>
              <w:t>Oechsle</w:t>
            </w:r>
            <w:proofErr w:type="spellEnd"/>
            <w:r w:rsidRPr="002B1998">
              <w:rPr>
                <w:rFonts w:cs="Arial"/>
                <w:shd w:val="clear" w:color="auto" w:fill="FFFFFF"/>
              </w:rPr>
              <w:t xml:space="preserve"> pour les raisins de cépages </w:t>
            </w:r>
            <w:proofErr w:type="gramStart"/>
            <w:r w:rsidRPr="002B1998">
              <w:rPr>
                <w:rFonts w:cs="Arial"/>
                <w:shd w:val="clear" w:color="auto" w:fill="FFFFFF"/>
              </w:rPr>
              <w:t>rouges;</w:t>
            </w:r>
            <w:proofErr w:type="gramEnd"/>
          </w:p>
        </w:tc>
        <w:tc>
          <w:tcPr>
            <w:tcW w:w="5620" w:type="dxa"/>
          </w:tcPr>
          <w:p w14:paraId="2FAF4B43" w14:textId="54AFB5FD" w:rsidR="00653B51" w:rsidRPr="0064509D" w:rsidRDefault="00653B51" w:rsidP="00653B51">
            <w:r w:rsidRPr="0064509D">
              <w:t xml:space="preserve">Nous demandons l’ajout de la correspondance en degrés </w:t>
            </w:r>
            <w:proofErr w:type="spellStart"/>
            <w:r w:rsidRPr="0064509D">
              <w:t>Oechsle</w:t>
            </w:r>
            <w:proofErr w:type="spellEnd"/>
            <w:r w:rsidRPr="0064509D">
              <w:t>, ce qui correspond aux besoins de la pratique.</w:t>
            </w:r>
          </w:p>
        </w:tc>
        <w:tc>
          <w:tcPr>
            <w:tcW w:w="532" w:type="dxa"/>
            <w:tcBorders>
              <w:top w:val="nil"/>
              <w:bottom w:val="nil"/>
              <w:right w:val="nil"/>
            </w:tcBorders>
            <w:shd w:val="clear" w:color="auto" w:fill="auto"/>
          </w:tcPr>
          <w:p w14:paraId="72E7091A" w14:textId="77777777" w:rsidR="00653B51" w:rsidRPr="00333EEF" w:rsidRDefault="00653B51" w:rsidP="00653B51">
            <w:pPr>
              <w:rPr>
                <w:b/>
              </w:rPr>
            </w:pPr>
          </w:p>
        </w:tc>
      </w:tr>
      <w:tr w:rsidR="00653B51" w:rsidRPr="003F5D0C" w14:paraId="44A561D4" w14:textId="77777777">
        <w:tc>
          <w:tcPr>
            <w:tcW w:w="2943" w:type="dxa"/>
          </w:tcPr>
          <w:p w14:paraId="76CF8AFA" w14:textId="53CE8CB2" w:rsidR="00653B51" w:rsidRDefault="00653B51" w:rsidP="00653B51">
            <w:pPr>
              <w:rPr>
                <w:lang w:val="it-CH"/>
              </w:rPr>
            </w:pPr>
            <w:r>
              <w:rPr>
                <w:lang w:val="it-CH"/>
              </w:rPr>
              <w:t>Art. 22, al. 2</w:t>
            </w:r>
          </w:p>
        </w:tc>
        <w:tc>
          <w:tcPr>
            <w:tcW w:w="5529" w:type="dxa"/>
          </w:tcPr>
          <w:p w14:paraId="13139A01" w14:textId="35F8766F" w:rsidR="00653B51" w:rsidRPr="002B1998" w:rsidRDefault="00653B51" w:rsidP="00653B51">
            <w:pPr>
              <w:rPr>
                <w:rFonts w:cs="Arial"/>
                <w:shd w:val="clear" w:color="auto" w:fill="FFFFFF"/>
              </w:rPr>
            </w:pPr>
            <w:r w:rsidRPr="002B1998">
              <w:rPr>
                <w:rFonts w:cs="Arial"/>
                <w:shd w:val="clear" w:color="auto" w:fill="FFFFFF"/>
              </w:rPr>
              <w:t>La surface viticole affectée à la production de vin de pays par l’exploitant doit être annoncée au canton</w:t>
            </w:r>
            <w:r>
              <w:rPr>
                <w:rFonts w:cs="Arial"/>
                <w:b/>
                <w:shd w:val="clear" w:color="auto" w:fill="FFFFFF"/>
              </w:rPr>
              <w:t xml:space="preserve"> jusqu’au moment de la livraison du lot à la cave</w:t>
            </w:r>
            <w:r w:rsidRPr="002B1998">
              <w:rPr>
                <w:rFonts w:cs="Arial"/>
                <w:shd w:val="clear" w:color="auto" w:fill="FFFFFF"/>
              </w:rPr>
              <w:t xml:space="preserve"> </w:t>
            </w:r>
            <w:r w:rsidRPr="002B1998">
              <w:rPr>
                <w:rFonts w:cs="Arial"/>
                <w:strike/>
                <w:shd w:val="clear" w:color="auto" w:fill="FFFFFF"/>
              </w:rPr>
              <w:t>le 31 juillet de l’année de récolte au plus tard</w:t>
            </w:r>
            <w:r w:rsidRPr="002B1998">
              <w:rPr>
                <w:rFonts w:cs="Arial"/>
                <w:shd w:val="clear" w:color="auto" w:fill="FFFFFF"/>
              </w:rPr>
              <w:t>.</w:t>
            </w:r>
          </w:p>
        </w:tc>
        <w:tc>
          <w:tcPr>
            <w:tcW w:w="5620" w:type="dxa"/>
          </w:tcPr>
          <w:p w14:paraId="7207C23F" w14:textId="17E45E23" w:rsidR="00653B51" w:rsidRPr="0064509D" w:rsidRDefault="00653B51" w:rsidP="00653B51">
            <w:r w:rsidRPr="0064509D">
              <w:t>Compte tenu du changement climatique notamment, la date du 31 juillet n’est pas adéquate pour se prononcer sur la classification de la parcelle.</w:t>
            </w:r>
          </w:p>
        </w:tc>
        <w:tc>
          <w:tcPr>
            <w:tcW w:w="532" w:type="dxa"/>
            <w:tcBorders>
              <w:top w:val="nil"/>
              <w:bottom w:val="nil"/>
              <w:right w:val="nil"/>
            </w:tcBorders>
            <w:shd w:val="clear" w:color="auto" w:fill="auto"/>
          </w:tcPr>
          <w:p w14:paraId="2EB3D955" w14:textId="77777777" w:rsidR="00653B51" w:rsidRPr="00333EEF" w:rsidRDefault="00653B51" w:rsidP="00653B51">
            <w:pPr>
              <w:rPr>
                <w:b/>
              </w:rPr>
            </w:pPr>
          </w:p>
        </w:tc>
      </w:tr>
      <w:tr w:rsidR="00653B51" w:rsidRPr="003F5D0C" w14:paraId="33F6A062" w14:textId="77777777">
        <w:tc>
          <w:tcPr>
            <w:tcW w:w="2943" w:type="dxa"/>
          </w:tcPr>
          <w:p w14:paraId="1DB21FEE" w14:textId="2F862EB9" w:rsidR="00653B51" w:rsidRDefault="00653B51" w:rsidP="00653B51">
            <w:pPr>
              <w:rPr>
                <w:lang w:val="it-CH"/>
              </w:rPr>
            </w:pPr>
            <w:r>
              <w:rPr>
                <w:lang w:val="it-CH"/>
              </w:rPr>
              <w:t>Art. 24, al. 1</w:t>
            </w:r>
          </w:p>
        </w:tc>
        <w:tc>
          <w:tcPr>
            <w:tcW w:w="5529" w:type="dxa"/>
          </w:tcPr>
          <w:p w14:paraId="557FBE88" w14:textId="49BB4CA4" w:rsidR="00653B51" w:rsidRPr="002B1998" w:rsidRDefault="00653B51" w:rsidP="00653B51">
            <w:pPr>
              <w:rPr>
                <w:rFonts w:cs="Arial"/>
                <w:shd w:val="clear" w:color="auto" w:fill="FFFFFF"/>
              </w:rPr>
            </w:pPr>
            <w:r w:rsidRPr="002B1998">
              <w:rPr>
                <w:rFonts w:cs="Arial"/>
                <w:shd w:val="clear" w:color="auto" w:fill="FFFFFF"/>
              </w:rPr>
              <w:t>Par vin de table suisse on entend un vin issu de raisins récoltés en Suisse et dont la teneur naturelle minimale requise en sucre est de 13,6 °</w:t>
            </w:r>
            <w:proofErr w:type="spellStart"/>
            <w:r w:rsidRPr="002B1998">
              <w:rPr>
                <w:rFonts w:cs="Arial"/>
                <w:shd w:val="clear" w:color="auto" w:fill="FFFFFF"/>
              </w:rPr>
              <w:t>Brix</w:t>
            </w:r>
            <w:proofErr w:type="spellEnd"/>
            <w:r w:rsidRPr="002B1998">
              <w:rPr>
                <w:rFonts w:cs="Arial"/>
                <w:b/>
                <w:shd w:val="clear" w:color="auto" w:fill="FFFFFF"/>
              </w:rPr>
              <w:t>/</w:t>
            </w:r>
            <w:r>
              <w:rPr>
                <w:rFonts w:cs="Arial"/>
                <w:b/>
                <w:shd w:val="clear" w:color="auto" w:fill="FFFFFF"/>
              </w:rPr>
              <w:t>55,1</w:t>
            </w:r>
            <w:r w:rsidRPr="002B1998">
              <w:rPr>
                <w:rFonts w:cs="Arial"/>
                <w:b/>
                <w:shd w:val="clear" w:color="auto" w:fill="FFFFFF"/>
              </w:rPr>
              <w:t xml:space="preserve">° </w:t>
            </w:r>
            <w:proofErr w:type="spellStart"/>
            <w:r w:rsidRPr="002B1998">
              <w:rPr>
                <w:rFonts w:cs="Arial"/>
                <w:b/>
                <w:shd w:val="clear" w:color="auto" w:fill="FFFFFF"/>
              </w:rPr>
              <w:t>Oechsle</w:t>
            </w:r>
            <w:proofErr w:type="spellEnd"/>
            <w:r w:rsidRPr="002B1998">
              <w:rPr>
                <w:rFonts w:cs="Arial"/>
                <w:shd w:val="clear" w:color="auto" w:fill="FFFFFF"/>
              </w:rPr>
              <w:t xml:space="preserve"> pour les raisins de cépages blancs et de 14,4 °</w:t>
            </w:r>
            <w:proofErr w:type="spellStart"/>
            <w:r w:rsidRPr="002B1998">
              <w:rPr>
                <w:rFonts w:cs="Arial"/>
                <w:shd w:val="clear" w:color="auto" w:fill="FFFFFF"/>
              </w:rPr>
              <w:t>Brix</w:t>
            </w:r>
            <w:proofErr w:type="spellEnd"/>
            <w:r w:rsidRPr="002B1998">
              <w:rPr>
                <w:rFonts w:cs="Arial"/>
                <w:b/>
                <w:shd w:val="clear" w:color="auto" w:fill="FFFFFF"/>
              </w:rPr>
              <w:t>/</w:t>
            </w:r>
            <w:r>
              <w:rPr>
                <w:rFonts w:cs="Arial"/>
                <w:b/>
                <w:shd w:val="clear" w:color="auto" w:fill="FFFFFF"/>
              </w:rPr>
              <w:t>58,5</w:t>
            </w:r>
            <w:r w:rsidRPr="002B1998">
              <w:rPr>
                <w:rFonts w:cs="Arial"/>
                <w:b/>
                <w:shd w:val="clear" w:color="auto" w:fill="FFFFFF"/>
              </w:rPr>
              <w:t xml:space="preserve">° </w:t>
            </w:r>
            <w:proofErr w:type="spellStart"/>
            <w:r w:rsidRPr="002B1998">
              <w:rPr>
                <w:rFonts w:cs="Arial"/>
                <w:b/>
                <w:shd w:val="clear" w:color="auto" w:fill="FFFFFF"/>
              </w:rPr>
              <w:t>Oechsle</w:t>
            </w:r>
            <w:proofErr w:type="spellEnd"/>
            <w:r w:rsidRPr="002B1998">
              <w:rPr>
                <w:rFonts w:cs="Arial"/>
                <w:shd w:val="clear" w:color="auto" w:fill="FFFFFF"/>
              </w:rPr>
              <w:t xml:space="preserve"> pour les raisins de cépages rouges.</w:t>
            </w:r>
          </w:p>
        </w:tc>
        <w:tc>
          <w:tcPr>
            <w:tcW w:w="5620" w:type="dxa"/>
          </w:tcPr>
          <w:p w14:paraId="20BD55C7" w14:textId="31781CD3" w:rsidR="00653B51" w:rsidRPr="0064509D" w:rsidRDefault="00653B51" w:rsidP="00653B51">
            <w:r w:rsidRPr="0064509D">
              <w:t xml:space="preserve">Nous demandons l’ajout de la correspondance en degrés </w:t>
            </w:r>
            <w:proofErr w:type="spellStart"/>
            <w:r w:rsidRPr="0064509D">
              <w:t>Oechsle</w:t>
            </w:r>
            <w:proofErr w:type="spellEnd"/>
            <w:r w:rsidRPr="0064509D">
              <w:t>, ce qui correspond aux besoins de la pratique.</w:t>
            </w:r>
          </w:p>
        </w:tc>
        <w:tc>
          <w:tcPr>
            <w:tcW w:w="532" w:type="dxa"/>
            <w:tcBorders>
              <w:top w:val="nil"/>
              <w:bottom w:val="nil"/>
              <w:right w:val="nil"/>
            </w:tcBorders>
            <w:shd w:val="clear" w:color="auto" w:fill="auto"/>
          </w:tcPr>
          <w:p w14:paraId="1A907C20" w14:textId="77777777" w:rsidR="00653B51" w:rsidRPr="00333EEF" w:rsidRDefault="00653B51" w:rsidP="00653B51">
            <w:pPr>
              <w:rPr>
                <w:b/>
              </w:rPr>
            </w:pPr>
          </w:p>
        </w:tc>
      </w:tr>
      <w:tr w:rsidR="00653B51" w:rsidRPr="003F5D0C" w14:paraId="7C8A385D" w14:textId="77777777">
        <w:tc>
          <w:tcPr>
            <w:tcW w:w="2943" w:type="dxa"/>
          </w:tcPr>
          <w:p w14:paraId="2199D1B4" w14:textId="30EDBB80" w:rsidR="00653B51" w:rsidRPr="002B1998" w:rsidRDefault="00653B51" w:rsidP="00653B51">
            <w:pPr>
              <w:rPr>
                <w:b/>
                <w:lang w:val="de-CH"/>
              </w:rPr>
            </w:pPr>
            <w:r w:rsidRPr="00B571A3">
              <w:rPr>
                <w:lang w:val="de-CH"/>
              </w:rPr>
              <w:lastRenderedPageBreak/>
              <w:t xml:space="preserve">Art. 24b, al. 2, </w:t>
            </w:r>
            <w:proofErr w:type="spellStart"/>
            <w:r w:rsidRPr="00B571A3">
              <w:rPr>
                <w:lang w:val="de-CH"/>
              </w:rPr>
              <w:t>let</w:t>
            </w:r>
            <w:proofErr w:type="spellEnd"/>
            <w:r w:rsidRPr="00B571A3">
              <w:rPr>
                <w:lang w:val="de-CH"/>
              </w:rPr>
              <w:t>. c</w:t>
            </w:r>
          </w:p>
        </w:tc>
        <w:tc>
          <w:tcPr>
            <w:tcW w:w="5529" w:type="dxa"/>
          </w:tcPr>
          <w:p w14:paraId="250EB5BE" w14:textId="2B3EFB76" w:rsidR="00653B51" w:rsidRDefault="00653B51" w:rsidP="00653B51">
            <w:pPr>
              <w:rPr>
                <w:rFonts w:cs="Arial"/>
                <w:b/>
                <w:shd w:val="clear" w:color="auto" w:fill="FFFFFF"/>
              </w:rPr>
            </w:pPr>
            <w:r w:rsidRPr="00B571A3">
              <w:rPr>
                <w:rFonts w:cs="Arial"/>
                <w:shd w:val="clear" w:color="auto" w:fill="FFFFFF"/>
              </w:rPr>
              <w:t xml:space="preserve">par cépage, les classes de vins admises selon </w:t>
            </w:r>
            <w:proofErr w:type="gramStart"/>
            <w:r w:rsidRPr="00B571A3">
              <w:rPr>
                <w:rFonts w:cs="Arial"/>
                <w:shd w:val="clear" w:color="auto" w:fill="FFFFFF"/>
              </w:rPr>
              <w:t>les art</w:t>
            </w:r>
            <w:proofErr w:type="gramEnd"/>
            <w:r w:rsidRPr="00B571A3">
              <w:rPr>
                <w:rFonts w:cs="Arial"/>
                <w:shd w:val="clear" w:color="auto" w:fill="FFFFFF"/>
              </w:rPr>
              <w:t>. 21 à 24 et, pour autant que cela soit pertinent, les quantités maximales admises exprimées en kg de raisin</w:t>
            </w:r>
            <w:r>
              <w:rPr>
                <w:rFonts w:cs="Arial"/>
                <w:b/>
                <w:shd w:val="clear" w:color="auto" w:fill="FFFFFF"/>
              </w:rPr>
              <w:t xml:space="preserve"> ou en </w:t>
            </w:r>
            <w:proofErr w:type="gramStart"/>
            <w:r>
              <w:rPr>
                <w:rFonts w:cs="Arial"/>
                <w:b/>
                <w:shd w:val="clear" w:color="auto" w:fill="FFFFFF"/>
              </w:rPr>
              <w:t>litres</w:t>
            </w:r>
            <w:r w:rsidRPr="00B571A3">
              <w:rPr>
                <w:rFonts w:cs="Arial"/>
                <w:shd w:val="clear" w:color="auto" w:fill="FFFFFF"/>
              </w:rPr>
              <w:t>;</w:t>
            </w:r>
            <w:proofErr w:type="gramEnd"/>
          </w:p>
        </w:tc>
        <w:tc>
          <w:tcPr>
            <w:tcW w:w="5620" w:type="dxa"/>
          </w:tcPr>
          <w:p w14:paraId="405EFB36" w14:textId="2A41AF2B" w:rsidR="00653B51" w:rsidRDefault="00653B51" w:rsidP="00653B51">
            <w:r>
              <w:t>Nous demandons la possibilité d’exprimer les droits de production en kg ou en litres.</w:t>
            </w:r>
          </w:p>
        </w:tc>
        <w:tc>
          <w:tcPr>
            <w:tcW w:w="532" w:type="dxa"/>
            <w:tcBorders>
              <w:top w:val="nil"/>
              <w:bottom w:val="nil"/>
              <w:right w:val="nil"/>
            </w:tcBorders>
            <w:shd w:val="clear" w:color="auto" w:fill="auto"/>
          </w:tcPr>
          <w:p w14:paraId="16D82182" w14:textId="77777777" w:rsidR="00653B51" w:rsidRPr="00333EEF" w:rsidRDefault="00653B51" w:rsidP="00653B51">
            <w:pPr>
              <w:rPr>
                <w:b/>
              </w:rPr>
            </w:pPr>
          </w:p>
        </w:tc>
      </w:tr>
      <w:tr w:rsidR="00D01AF0" w:rsidRPr="003F5D0C" w14:paraId="6DC709BF" w14:textId="77777777">
        <w:tc>
          <w:tcPr>
            <w:tcW w:w="2943" w:type="dxa"/>
          </w:tcPr>
          <w:p w14:paraId="6CD49485" w14:textId="2402C6AC" w:rsidR="00D01AF0" w:rsidRPr="00B571A3" w:rsidRDefault="00D01AF0" w:rsidP="00D01AF0">
            <w:pPr>
              <w:rPr>
                <w:lang w:val="de-CH"/>
              </w:rPr>
            </w:pPr>
            <w:r w:rsidRPr="002B1998">
              <w:rPr>
                <w:b/>
                <w:lang w:val="de-CH"/>
              </w:rPr>
              <w:t>Art. 24b, al. 4</w:t>
            </w:r>
            <w:r>
              <w:rPr>
                <w:lang w:val="de-CH"/>
              </w:rPr>
              <w:t xml:space="preserve"> (</w:t>
            </w:r>
            <w:proofErr w:type="spellStart"/>
            <w:r>
              <w:rPr>
                <w:lang w:val="de-CH"/>
              </w:rPr>
              <w:t>nouveau</w:t>
            </w:r>
            <w:proofErr w:type="spellEnd"/>
            <w:r>
              <w:rPr>
                <w:lang w:val="de-CH"/>
              </w:rPr>
              <w:t>)</w:t>
            </w:r>
          </w:p>
        </w:tc>
        <w:tc>
          <w:tcPr>
            <w:tcW w:w="5529" w:type="dxa"/>
          </w:tcPr>
          <w:p w14:paraId="3252912D" w14:textId="198C6E55" w:rsidR="00D01AF0" w:rsidRPr="00B571A3" w:rsidRDefault="00D01AF0" w:rsidP="00D01AF0">
            <w:pPr>
              <w:rPr>
                <w:rFonts w:cs="Arial"/>
                <w:shd w:val="clear" w:color="auto" w:fill="FFFFFF"/>
              </w:rPr>
            </w:pPr>
            <w:r>
              <w:rPr>
                <w:rFonts w:cs="Arial"/>
                <w:b/>
                <w:shd w:val="clear" w:color="auto" w:fill="FFFFFF"/>
              </w:rPr>
              <w:t>Les cantons peuvent utiliser la marge entre le quota fédéral et le quota cantonal pour faire du raisin de table.</w:t>
            </w:r>
          </w:p>
        </w:tc>
        <w:tc>
          <w:tcPr>
            <w:tcW w:w="5620" w:type="dxa"/>
          </w:tcPr>
          <w:p w14:paraId="249843B1" w14:textId="3B716F0C" w:rsidR="00D01AF0" w:rsidRDefault="00D01AF0" w:rsidP="00D01AF0">
            <w:r>
              <w:t>La récolte de raisin de table est aujourd’hui comprise dans les acquis. Nous demandons de permettre au canton de pouvoir utiliser la marge de manœuvre entre les quotas fédéraux et cantonaux pour en produire.</w:t>
            </w:r>
          </w:p>
        </w:tc>
        <w:tc>
          <w:tcPr>
            <w:tcW w:w="532" w:type="dxa"/>
            <w:tcBorders>
              <w:top w:val="nil"/>
              <w:bottom w:val="nil"/>
              <w:right w:val="nil"/>
            </w:tcBorders>
            <w:shd w:val="clear" w:color="auto" w:fill="auto"/>
          </w:tcPr>
          <w:p w14:paraId="006996B3" w14:textId="77777777" w:rsidR="00D01AF0" w:rsidRPr="00333EEF" w:rsidRDefault="00D01AF0" w:rsidP="00D01AF0">
            <w:pPr>
              <w:rPr>
                <w:b/>
              </w:rPr>
            </w:pPr>
          </w:p>
        </w:tc>
      </w:tr>
      <w:tr w:rsidR="00F1662E" w:rsidRPr="003F5D0C" w14:paraId="6DEC7C4F" w14:textId="77777777" w:rsidTr="00637BC5">
        <w:tc>
          <w:tcPr>
            <w:tcW w:w="2943" w:type="dxa"/>
          </w:tcPr>
          <w:p w14:paraId="42625AC8" w14:textId="77777777" w:rsidR="00F1662E" w:rsidRPr="00F1662E" w:rsidRDefault="00F1662E" w:rsidP="00637BC5">
            <w:pPr>
              <w:rPr>
                <w:lang w:val="de-CH"/>
              </w:rPr>
            </w:pPr>
            <w:r>
              <w:rPr>
                <w:b/>
                <w:lang w:val="de-CH"/>
              </w:rPr>
              <w:t>Art. 24c, al. 1</w:t>
            </w:r>
            <w:r>
              <w:rPr>
                <w:lang w:val="de-CH"/>
              </w:rPr>
              <w:t xml:space="preserve"> (</w:t>
            </w:r>
            <w:proofErr w:type="spellStart"/>
            <w:r>
              <w:rPr>
                <w:lang w:val="de-CH"/>
              </w:rPr>
              <w:t>nouveau</w:t>
            </w:r>
            <w:proofErr w:type="spellEnd"/>
            <w:r>
              <w:rPr>
                <w:lang w:val="de-CH"/>
              </w:rPr>
              <w:t>)</w:t>
            </w:r>
          </w:p>
        </w:tc>
        <w:tc>
          <w:tcPr>
            <w:tcW w:w="5529" w:type="dxa"/>
          </w:tcPr>
          <w:p w14:paraId="52418552" w14:textId="302B580D" w:rsidR="00F1662E" w:rsidRDefault="00F1662E" w:rsidP="00637BC5">
            <w:pPr>
              <w:rPr>
                <w:rFonts w:cs="Arial"/>
                <w:b/>
                <w:shd w:val="clear" w:color="auto" w:fill="FFFFFF"/>
              </w:rPr>
            </w:pPr>
            <w:r>
              <w:rPr>
                <w:rFonts w:cs="Arial"/>
                <w:b/>
                <w:shd w:val="clear" w:color="auto" w:fill="FFFFFF"/>
              </w:rPr>
              <w:t>Sur demande d’une interprofession, les cantons peuvent octroyer un acquit individuel fixant une quantité dont la commercialisation est différée.</w:t>
            </w:r>
          </w:p>
        </w:tc>
        <w:tc>
          <w:tcPr>
            <w:tcW w:w="5620" w:type="dxa"/>
            <w:vMerge w:val="restart"/>
          </w:tcPr>
          <w:p w14:paraId="36A46C63" w14:textId="4EF0AD07" w:rsidR="00F1662E" w:rsidRDefault="00F1662E" w:rsidP="00637BC5">
            <w:r>
              <w:t>La question d’une réserve climatique revient régulièrement sur la table, en particuliers en lien avec les changements climatiques ainsi qu’avec l’instabilité des marchés, par exemple en lien avec la pandémie. Il s’agit de poser les bases légales permettant aux cantons d’établir une telle réserve.</w:t>
            </w:r>
          </w:p>
        </w:tc>
        <w:tc>
          <w:tcPr>
            <w:tcW w:w="532" w:type="dxa"/>
            <w:tcBorders>
              <w:top w:val="nil"/>
              <w:bottom w:val="nil"/>
              <w:right w:val="nil"/>
            </w:tcBorders>
            <w:shd w:val="clear" w:color="auto" w:fill="auto"/>
          </w:tcPr>
          <w:p w14:paraId="5CDEE462" w14:textId="77777777" w:rsidR="00F1662E" w:rsidRPr="00333EEF" w:rsidRDefault="00F1662E" w:rsidP="00637BC5">
            <w:pPr>
              <w:rPr>
                <w:b/>
              </w:rPr>
            </w:pPr>
          </w:p>
        </w:tc>
      </w:tr>
      <w:tr w:rsidR="00F1662E" w:rsidRPr="003F5D0C" w14:paraId="74C7C079" w14:textId="77777777" w:rsidTr="00637BC5">
        <w:tc>
          <w:tcPr>
            <w:tcW w:w="2943" w:type="dxa"/>
          </w:tcPr>
          <w:p w14:paraId="2469D471" w14:textId="7EB088E1" w:rsidR="00F1662E" w:rsidRPr="00F1662E" w:rsidRDefault="00F1662E" w:rsidP="00F1662E">
            <w:pPr>
              <w:rPr>
                <w:lang w:val="de-CH"/>
              </w:rPr>
            </w:pPr>
            <w:r>
              <w:rPr>
                <w:b/>
                <w:lang w:val="de-CH"/>
              </w:rPr>
              <w:t xml:space="preserve">Art. 24c, al. 2 </w:t>
            </w:r>
            <w:r>
              <w:rPr>
                <w:lang w:val="de-CH"/>
              </w:rPr>
              <w:t>(</w:t>
            </w:r>
            <w:proofErr w:type="spellStart"/>
            <w:r>
              <w:rPr>
                <w:lang w:val="de-CH"/>
              </w:rPr>
              <w:t>nouveau</w:t>
            </w:r>
            <w:proofErr w:type="spellEnd"/>
            <w:r>
              <w:rPr>
                <w:lang w:val="de-CH"/>
              </w:rPr>
              <w:t>)</w:t>
            </w:r>
          </w:p>
        </w:tc>
        <w:tc>
          <w:tcPr>
            <w:tcW w:w="5529" w:type="dxa"/>
          </w:tcPr>
          <w:p w14:paraId="0B07C2B4" w14:textId="7B09BAC4" w:rsidR="00F1662E" w:rsidRDefault="00F1662E" w:rsidP="00637BC5">
            <w:pPr>
              <w:rPr>
                <w:rFonts w:cs="Arial"/>
                <w:b/>
                <w:shd w:val="clear" w:color="auto" w:fill="FFFFFF"/>
              </w:rPr>
            </w:pPr>
            <w:r>
              <w:rPr>
                <w:rFonts w:cs="Arial"/>
                <w:b/>
                <w:shd w:val="clear" w:color="auto" w:fill="FFFFFF"/>
              </w:rPr>
              <w:t xml:space="preserve">Les cantons examinent si les conditions de l’art. 9 </w:t>
            </w:r>
            <w:proofErr w:type="spellStart"/>
            <w:r>
              <w:rPr>
                <w:rFonts w:cs="Arial"/>
                <w:b/>
                <w:shd w:val="clear" w:color="auto" w:fill="FFFFFF"/>
              </w:rPr>
              <w:t>LAgr</w:t>
            </w:r>
            <w:proofErr w:type="spellEnd"/>
            <w:r>
              <w:rPr>
                <w:rFonts w:cs="Arial"/>
                <w:b/>
                <w:shd w:val="clear" w:color="auto" w:fill="FFFFFF"/>
              </w:rPr>
              <w:t xml:space="preserve"> sont remplies.</w:t>
            </w:r>
          </w:p>
        </w:tc>
        <w:tc>
          <w:tcPr>
            <w:tcW w:w="5620" w:type="dxa"/>
            <w:vMerge/>
          </w:tcPr>
          <w:p w14:paraId="43C52A17" w14:textId="77777777" w:rsidR="00F1662E" w:rsidRDefault="00F1662E" w:rsidP="00637BC5"/>
        </w:tc>
        <w:tc>
          <w:tcPr>
            <w:tcW w:w="532" w:type="dxa"/>
            <w:tcBorders>
              <w:top w:val="nil"/>
              <w:bottom w:val="nil"/>
              <w:right w:val="nil"/>
            </w:tcBorders>
            <w:shd w:val="clear" w:color="auto" w:fill="auto"/>
          </w:tcPr>
          <w:p w14:paraId="7DEC7EC1" w14:textId="77777777" w:rsidR="00F1662E" w:rsidRPr="00333EEF" w:rsidRDefault="00F1662E" w:rsidP="00637BC5">
            <w:pPr>
              <w:rPr>
                <w:b/>
              </w:rPr>
            </w:pPr>
          </w:p>
        </w:tc>
      </w:tr>
      <w:tr w:rsidR="00F1662E" w:rsidRPr="003F5D0C" w14:paraId="381C0290" w14:textId="77777777">
        <w:tc>
          <w:tcPr>
            <w:tcW w:w="2943" w:type="dxa"/>
          </w:tcPr>
          <w:p w14:paraId="5B276746" w14:textId="2DC0E49C" w:rsidR="00F1662E" w:rsidRPr="00F1662E" w:rsidRDefault="00F1662E" w:rsidP="00F1662E">
            <w:pPr>
              <w:rPr>
                <w:lang w:val="de-CH"/>
              </w:rPr>
            </w:pPr>
            <w:r>
              <w:rPr>
                <w:b/>
                <w:lang w:val="de-CH"/>
              </w:rPr>
              <w:t>Art. 24c, al. 3</w:t>
            </w:r>
            <w:r>
              <w:rPr>
                <w:lang w:val="de-CH"/>
              </w:rPr>
              <w:t xml:space="preserve"> (</w:t>
            </w:r>
            <w:proofErr w:type="spellStart"/>
            <w:r>
              <w:rPr>
                <w:lang w:val="de-CH"/>
              </w:rPr>
              <w:t>nouveau</w:t>
            </w:r>
            <w:proofErr w:type="spellEnd"/>
            <w:r>
              <w:rPr>
                <w:lang w:val="de-CH"/>
              </w:rPr>
              <w:t>)</w:t>
            </w:r>
          </w:p>
        </w:tc>
        <w:tc>
          <w:tcPr>
            <w:tcW w:w="5529" w:type="dxa"/>
          </w:tcPr>
          <w:p w14:paraId="11B1E124" w14:textId="5C79EFA4" w:rsidR="00F1662E" w:rsidRDefault="00F1662E" w:rsidP="00D01AF0">
            <w:pPr>
              <w:rPr>
                <w:rFonts w:cs="Arial"/>
                <w:b/>
                <w:shd w:val="clear" w:color="auto" w:fill="FFFFFF"/>
              </w:rPr>
            </w:pPr>
            <w:r>
              <w:rPr>
                <w:rFonts w:cs="Arial"/>
                <w:b/>
                <w:shd w:val="clear" w:color="auto" w:fill="FFFFFF"/>
              </w:rPr>
              <w:t>La mise en marché de toutes ou partie des quantités mises en réserve climatique se fait sur demande de l’interprofession auprès des cantons.</w:t>
            </w:r>
          </w:p>
        </w:tc>
        <w:tc>
          <w:tcPr>
            <w:tcW w:w="5620" w:type="dxa"/>
            <w:vMerge/>
          </w:tcPr>
          <w:p w14:paraId="7016ED74" w14:textId="77777777" w:rsidR="00F1662E" w:rsidRDefault="00F1662E" w:rsidP="00D01AF0"/>
        </w:tc>
        <w:tc>
          <w:tcPr>
            <w:tcW w:w="532" w:type="dxa"/>
            <w:tcBorders>
              <w:top w:val="nil"/>
              <w:bottom w:val="nil"/>
              <w:right w:val="nil"/>
            </w:tcBorders>
            <w:shd w:val="clear" w:color="auto" w:fill="auto"/>
          </w:tcPr>
          <w:p w14:paraId="3AA07101" w14:textId="77777777" w:rsidR="00F1662E" w:rsidRPr="00333EEF" w:rsidRDefault="00F1662E" w:rsidP="00D01AF0">
            <w:pPr>
              <w:rPr>
                <w:b/>
              </w:rPr>
            </w:pPr>
          </w:p>
        </w:tc>
      </w:tr>
      <w:tr w:rsidR="00CD1C4D" w:rsidRPr="00CD1C4D" w14:paraId="299FA90E" w14:textId="77777777">
        <w:tc>
          <w:tcPr>
            <w:tcW w:w="2943" w:type="dxa"/>
          </w:tcPr>
          <w:p w14:paraId="161C0D56" w14:textId="0CD10119" w:rsidR="00CD1C4D" w:rsidRPr="00CD1C4D" w:rsidRDefault="00CD1C4D" w:rsidP="00F1662E">
            <w:pPr>
              <w:rPr>
                <w:lang w:val="de-CH"/>
              </w:rPr>
            </w:pPr>
            <w:r w:rsidRPr="00CD1C4D">
              <w:rPr>
                <w:lang w:val="de-CH"/>
              </w:rPr>
              <w:t>Art</w:t>
            </w:r>
            <w:r>
              <w:rPr>
                <w:lang w:val="de-CH"/>
              </w:rPr>
              <w:t>. 27a</w:t>
            </w:r>
            <w:r w:rsidRPr="00CD1C4D">
              <w:rPr>
                <w:i/>
                <w:vertAlign w:val="superscript"/>
                <w:lang w:val="de-CH"/>
              </w:rPr>
              <w:t>bis</w:t>
            </w:r>
            <w:r>
              <w:rPr>
                <w:lang w:val="de-CH"/>
              </w:rPr>
              <w:t>, al. 1</w:t>
            </w:r>
          </w:p>
        </w:tc>
        <w:tc>
          <w:tcPr>
            <w:tcW w:w="5529" w:type="dxa"/>
          </w:tcPr>
          <w:p w14:paraId="4D3866F2" w14:textId="13B228E2" w:rsidR="00CD1C4D" w:rsidRPr="00CD1C4D" w:rsidRDefault="00CD1C4D" w:rsidP="00D01AF0">
            <w:pPr>
              <w:rPr>
                <w:rFonts w:cs="Arial"/>
                <w:shd w:val="clear" w:color="auto" w:fill="FFFFFF"/>
              </w:rPr>
            </w:pPr>
            <w:r>
              <w:t xml:space="preserve">Le rendement maximal de vinification des vins suisses ne peut excéder 80 litres de vin </w:t>
            </w:r>
            <w:r>
              <w:rPr>
                <w:b/>
              </w:rPr>
              <w:t>clair</w:t>
            </w:r>
            <w:r>
              <w:t xml:space="preserve"> par 100 kg de raisin.</w:t>
            </w:r>
          </w:p>
        </w:tc>
        <w:tc>
          <w:tcPr>
            <w:tcW w:w="5620" w:type="dxa"/>
          </w:tcPr>
          <w:p w14:paraId="07D22F6E" w14:textId="01FBCE83" w:rsidR="00CD1C4D" w:rsidRPr="00CD1C4D" w:rsidRDefault="00CD1C4D" w:rsidP="00CD1C4D">
            <w:r>
              <w:t>La profession travaille en litre de vin clair. Il s’agit d’insérer cette précision dans l’ordonnance.</w:t>
            </w:r>
          </w:p>
        </w:tc>
        <w:tc>
          <w:tcPr>
            <w:tcW w:w="532" w:type="dxa"/>
            <w:tcBorders>
              <w:top w:val="nil"/>
              <w:bottom w:val="nil"/>
              <w:right w:val="nil"/>
            </w:tcBorders>
            <w:shd w:val="clear" w:color="auto" w:fill="auto"/>
          </w:tcPr>
          <w:p w14:paraId="25723673" w14:textId="77777777" w:rsidR="00CD1C4D" w:rsidRPr="00CD1C4D" w:rsidRDefault="00CD1C4D" w:rsidP="00D01AF0"/>
        </w:tc>
      </w:tr>
      <w:tr w:rsidR="00CD1C4D" w:rsidRPr="00CD1C4D" w14:paraId="59011FFD" w14:textId="77777777">
        <w:tc>
          <w:tcPr>
            <w:tcW w:w="2943" w:type="dxa"/>
          </w:tcPr>
          <w:p w14:paraId="1E799F86" w14:textId="4254F662" w:rsidR="00CD1C4D" w:rsidRPr="00CD1C4D" w:rsidRDefault="00CD1C4D" w:rsidP="00CD1C4D">
            <w:pPr>
              <w:rPr>
                <w:lang w:val="de-CH"/>
              </w:rPr>
            </w:pPr>
            <w:r w:rsidRPr="00CD1C4D">
              <w:rPr>
                <w:lang w:val="de-CH"/>
              </w:rPr>
              <w:t>Art</w:t>
            </w:r>
            <w:r>
              <w:rPr>
                <w:lang w:val="de-CH"/>
              </w:rPr>
              <w:t>. 27a</w:t>
            </w:r>
            <w:r w:rsidRPr="00CD1C4D">
              <w:rPr>
                <w:i/>
                <w:vertAlign w:val="superscript"/>
                <w:lang w:val="de-CH"/>
              </w:rPr>
              <w:t>bis</w:t>
            </w:r>
            <w:r>
              <w:rPr>
                <w:lang w:val="de-CH"/>
              </w:rPr>
              <w:t>, al. 2</w:t>
            </w:r>
          </w:p>
        </w:tc>
        <w:tc>
          <w:tcPr>
            <w:tcW w:w="5529" w:type="dxa"/>
          </w:tcPr>
          <w:p w14:paraId="3AE99BA4" w14:textId="49730D10" w:rsidR="00CD1C4D" w:rsidRDefault="00CD1C4D" w:rsidP="00CD1C4D">
            <w:r>
              <w:t>Les cantons peuvent fixer un rendement maximal inférieur à 80 litres de vin</w:t>
            </w:r>
            <w:r>
              <w:rPr>
                <w:b/>
              </w:rPr>
              <w:t xml:space="preserve"> clair</w:t>
            </w:r>
            <w:r>
              <w:t xml:space="preserve"> par 100 kg de raisin pour les vins AOC.</w:t>
            </w:r>
          </w:p>
        </w:tc>
        <w:tc>
          <w:tcPr>
            <w:tcW w:w="5620" w:type="dxa"/>
          </w:tcPr>
          <w:p w14:paraId="2F04B2C1" w14:textId="051FAC01" w:rsidR="00CD1C4D" w:rsidRDefault="00CD1C4D" w:rsidP="00CD1C4D">
            <w:r>
              <w:t>Voir ci-dessus.</w:t>
            </w:r>
          </w:p>
        </w:tc>
        <w:tc>
          <w:tcPr>
            <w:tcW w:w="532" w:type="dxa"/>
            <w:tcBorders>
              <w:top w:val="nil"/>
              <w:bottom w:val="nil"/>
              <w:right w:val="nil"/>
            </w:tcBorders>
            <w:shd w:val="clear" w:color="auto" w:fill="auto"/>
          </w:tcPr>
          <w:p w14:paraId="624A5739" w14:textId="77777777" w:rsidR="00CD1C4D" w:rsidRPr="00CD1C4D" w:rsidRDefault="00CD1C4D" w:rsidP="00CD1C4D"/>
        </w:tc>
      </w:tr>
      <w:tr w:rsidR="00B33F4A" w:rsidRPr="003F5D0C" w14:paraId="3830D979" w14:textId="77777777">
        <w:tc>
          <w:tcPr>
            <w:tcW w:w="2943" w:type="dxa"/>
          </w:tcPr>
          <w:p w14:paraId="385F1DCF" w14:textId="77777777" w:rsidR="00B33F4A" w:rsidRPr="00333EEF" w:rsidRDefault="00333EEF">
            <w:r>
              <w:t>Art. 35a, let. g</w:t>
            </w:r>
          </w:p>
        </w:tc>
        <w:tc>
          <w:tcPr>
            <w:tcW w:w="5529" w:type="dxa"/>
          </w:tcPr>
          <w:p w14:paraId="34076A23" w14:textId="77777777" w:rsidR="00B33F4A" w:rsidRPr="00333EEF" w:rsidRDefault="00333EEF">
            <w:pPr>
              <w:rPr>
                <w:strike/>
              </w:rPr>
            </w:pPr>
            <w:r w:rsidRPr="00333EEF">
              <w:rPr>
                <w:strike/>
              </w:rPr>
              <w:t>gérer et actualiser la banque de données isotopiques des vins suisses visée à l’art. 35b.</w:t>
            </w:r>
          </w:p>
        </w:tc>
        <w:tc>
          <w:tcPr>
            <w:tcW w:w="5620" w:type="dxa"/>
          </w:tcPr>
          <w:p w14:paraId="1B7F95B0" w14:textId="77777777" w:rsidR="00B33F4A" w:rsidRPr="00333EEF" w:rsidRDefault="00293B91">
            <w:r>
              <w:t>Nous demandons à ce que cette tâche soit confiée à Agroscope.</w:t>
            </w:r>
          </w:p>
        </w:tc>
        <w:tc>
          <w:tcPr>
            <w:tcW w:w="532" w:type="dxa"/>
            <w:tcBorders>
              <w:top w:val="nil"/>
              <w:bottom w:val="nil"/>
              <w:right w:val="nil"/>
            </w:tcBorders>
            <w:shd w:val="clear" w:color="auto" w:fill="auto"/>
          </w:tcPr>
          <w:p w14:paraId="089E33AB" w14:textId="77777777" w:rsidR="00B33F4A" w:rsidRPr="00333EEF" w:rsidRDefault="00B33F4A">
            <w:pPr>
              <w:rPr>
                <w:b/>
              </w:rPr>
            </w:pPr>
          </w:p>
        </w:tc>
      </w:tr>
    </w:tbl>
    <w:p w14:paraId="4513D332" w14:textId="77777777" w:rsidR="00B33F4A" w:rsidRPr="002D15EF" w:rsidRDefault="00B67434">
      <w:pPr>
        <w:pStyle w:val="Titre1"/>
      </w:pPr>
      <w:bookmarkStart w:id="14" w:name="_Toc93667901"/>
      <w:r w:rsidRPr="002D15EF">
        <w:lastRenderedPageBreak/>
        <w:t xml:space="preserve">BR 11 </w:t>
      </w:r>
      <w:proofErr w:type="spellStart"/>
      <w:r w:rsidR="00522AB9" w:rsidRPr="002D15EF">
        <w:t>Pflanzengesundheitsverordnung</w:t>
      </w:r>
      <w:proofErr w:type="spellEnd"/>
      <w:r w:rsidRPr="002D15EF">
        <w:t xml:space="preserve"> / </w:t>
      </w:r>
      <w:r w:rsidR="008B5D61" w:rsidRPr="002D15EF">
        <w:t>Ordonnance sur la santé des végétaux</w:t>
      </w:r>
      <w:r w:rsidRPr="002D15EF">
        <w:t xml:space="preserve"> / </w:t>
      </w:r>
      <w:proofErr w:type="spellStart"/>
      <w:r w:rsidR="002D15EF" w:rsidRPr="003D7B41">
        <w:t>Ordinanza</w:t>
      </w:r>
      <w:proofErr w:type="spellEnd"/>
      <w:r w:rsidR="002D15EF" w:rsidRPr="003D7B41">
        <w:t xml:space="preserve"> </w:t>
      </w:r>
      <w:proofErr w:type="spellStart"/>
      <w:r w:rsidR="002D15EF" w:rsidRPr="003D7B41">
        <w:t>sulla</w:t>
      </w:r>
      <w:proofErr w:type="spellEnd"/>
      <w:r w:rsidR="002D15EF" w:rsidRPr="003D7B41">
        <w:t xml:space="preserve"> </w:t>
      </w:r>
      <w:proofErr w:type="spellStart"/>
      <w:r w:rsidR="002D15EF" w:rsidRPr="003D7B41">
        <w:t>salute</w:t>
      </w:r>
      <w:proofErr w:type="spellEnd"/>
      <w:r w:rsidR="002D15EF" w:rsidRPr="003D7B41">
        <w:t xml:space="preserve"> dei </w:t>
      </w:r>
      <w:proofErr w:type="spellStart"/>
      <w:r w:rsidR="002D15EF" w:rsidRPr="003D7B41">
        <w:t>vegetali</w:t>
      </w:r>
      <w:proofErr w:type="spellEnd"/>
      <w:r w:rsidR="002D15EF">
        <w:t xml:space="preserve"> (916.20)</w:t>
      </w:r>
      <w:bookmarkEnd w:id="1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3C5DB613" w14:textId="77777777">
        <w:trPr>
          <w:tblHeader/>
        </w:trPr>
        <w:tc>
          <w:tcPr>
            <w:tcW w:w="14092" w:type="dxa"/>
            <w:tcBorders>
              <w:top w:val="single" w:sz="4" w:space="0" w:color="auto"/>
              <w:left w:val="single" w:sz="4" w:space="0" w:color="auto"/>
              <w:bottom w:val="nil"/>
              <w:right w:val="single" w:sz="4" w:space="0" w:color="auto"/>
            </w:tcBorders>
          </w:tcPr>
          <w:p w14:paraId="2499EFA5"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408B558C" w14:textId="77777777" w:rsidR="00B33F4A" w:rsidRDefault="00B33F4A">
            <w:pPr>
              <w:pStyle w:val="Betreff"/>
              <w:widowControl/>
              <w:spacing w:before="0" w:after="0" w:line="240" w:lineRule="auto"/>
            </w:pPr>
          </w:p>
        </w:tc>
      </w:tr>
      <w:tr w:rsidR="00B33F4A" w14:paraId="70FC3142"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721EC50D" w14:textId="77777777" w:rsidR="00B33F4A" w:rsidRDefault="00293B91">
            <w:r>
              <w:t>Pas de remarque particulière</w:t>
            </w:r>
          </w:p>
        </w:tc>
        <w:tc>
          <w:tcPr>
            <w:tcW w:w="532" w:type="dxa"/>
            <w:tcBorders>
              <w:top w:val="nil"/>
              <w:left w:val="single" w:sz="4" w:space="0" w:color="auto"/>
              <w:bottom w:val="nil"/>
              <w:right w:val="nil"/>
            </w:tcBorders>
            <w:shd w:val="clear" w:color="auto" w:fill="auto"/>
          </w:tcPr>
          <w:p w14:paraId="217A6EDF" w14:textId="77777777" w:rsidR="00B33F4A" w:rsidRDefault="00B33F4A">
            <w:pPr>
              <w:rPr>
                <w:b/>
              </w:rPr>
            </w:pPr>
          </w:p>
        </w:tc>
      </w:tr>
    </w:tbl>
    <w:p w14:paraId="15FA9F6C"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72698280" w14:textId="77777777">
        <w:trPr>
          <w:tblHeader/>
        </w:trPr>
        <w:tc>
          <w:tcPr>
            <w:tcW w:w="2943" w:type="dxa"/>
          </w:tcPr>
          <w:p w14:paraId="4AC2C22F"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CA057A6"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1E4F353A"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5FB9B534" w14:textId="77777777" w:rsidR="00B33F4A" w:rsidRPr="007132B1" w:rsidRDefault="00B33F4A">
            <w:pPr>
              <w:widowControl/>
              <w:spacing w:after="0" w:line="240" w:lineRule="auto"/>
              <w:rPr>
                <w:b/>
                <w:lang w:val="de-CH"/>
              </w:rPr>
            </w:pPr>
          </w:p>
        </w:tc>
      </w:tr>
      <w:tr w:rsidR="00B33F4A" w:rsidRPr="00971C09" w14:paraId="6FC1336B" w14:textId="77777777">
        <w:tc>
          <w:tcPr>
            <w:tcW w:w="2943" w:type="dxa"/>
          </w:tcPr>
          <w:p w14:paraId="54C056F2" w14:textId="77777777" w:rsidR="00B33F4A" w:rsidRPr="006157A9" w:rsidRDefault="00B33F4A">
            <w:pPr>
              <w:pStyle w:val="Anhang"/>
              <w:tabs>
                <w:tab w:val="clear" w:pos="1276"/>
              </w:tabs>
              <w:spacing w:before="0" w:after="260"/>
              <w:outlineLvl w:val="9"/>
              <w:rPr>
                <w:lang w:val="de-CH" w:eastAsia="de-CH"/>
              </w:rPr>
            </w:pPr>
          </w:p>
        </w:tc>
        <w:tc>
          <w:tcPr>
            <w:tcW w:w="5529" w:type="dxa"/>
          </w:tcPr>
          <w:p w14:paraId="71D451DC" w14:textId="77777777" w:rsidR="00B33F4A" w:rsidRPr="007132B1" w:rsidRDefault="00B33F4A">
            <w:pPr>
              <w:rPr>
                <w:lang w:val="de-CH"/>
              </w:rPr>
            </w:pPr>
          </w:p>
        </w:tc>
        <w:tc>
          <w:tcPr>
            <w:tcW w:w="5620" w:type="dxa"/>
          </w:tcPr>
          <w:p w14:paraId="79555DDA" w14:textId="77777777" w:rsidR="00B33F4A" w:rsidRPr="007132B1" w:rsidRDefault="00B33F4A">
            <w:pPr>
              <w:rPr>
                <w:lang w:val="de-CH"/>
              </w:rPr>
            </w:pPr>
          </w:p>
        </w:tc>
        <w:tc>
          <w:tcPr>
            <w:tcW w:w="532" w:type="dxa"/>
            <w:tcBorders>
              <w:top w:val="nil"/>
              <w:bottom w:val="nil"/>
              <w:right w:val="nil"/>
            </w:tcBorders>
            <w:shd w:val="clear" w:color="auto" w:fill="auto"/>
          </w:tcPr>
          <w:p w14:paraId="5AFE7AFD" w14:textId="77777777" w:rsidR="00B33F4A" w:rsidRPr="007132B1" w:rsidRDefault="00B33F4A">
            <w:pPr>
              <w:rPr>
                <w:b/>
                <w:lang w:val="de-CH"/>
              </w:rPr>
            </w:pPr>
          </w:p>
        </w:tc>
      </w:tr>
    </w:tbl>
    <w:p w14:paraId="61DE8535" w14:textId="77777777" w:rsidR="00B33F4A" w:rsidRPr="006157A9" w:rsidRDefault="00522AB9">
      <w:pPr>
        <w:pStyle w:val="Titre1"/>
      </w:pPr>
      <w:bookmarkStart w:id="15" w:name="_Toc93667902"/>
      <w:r w:rsidRPr="006157A9">
        <w:lastRenderedPageBreak/>
        <w:t xml:space="preserve">BR 12 </w:t>
      </w:r>
      <w:proofErr w:type="spellStart"/>
      <w:r w:rsidRPr="006157A9">
        <w:t>Futtermittel-Verordnung</w:t>
      </w:r>
      <w:proofErr w:type="spellEnd"/>
      <w:r w:rsidRPr="006157A9">
        <w:t xml:space="preserve"> </w:t>
      </w:r>
      <w:r w:rsidR="00B67434" w:rsidRPr="006157A9">
        <w:t xml:space="preserve">/ </w:t>
      </w:r>
      <w:r w:rsidR="008B5D61" w:rsidRPr="00050249">
        <w:t>Ordonnance sur les aliments pour animaux</w:t>
      </w:r>
      <w:r w:rsidR="008B5D61" w:rsidRPr="006157A9">
        <w:t xml:space="preserve"> </w:t>
      </w:r>
      <w:r w:rsidR="00B67434" w:rsidRPr="006157A9">
        <w:t xml:space="preserve">/ </w:t>
      </w:r>
      <w:proofErr w:type="spellStart"/>
      <w:r w:rsidR="00895FF0" w:rsidRPr="006157A9">
        <w:t>Ordinanza</w:t>
      </w:r>
      <w:proofErr w:type="spellEnd"/>
      <w:r w:rsidR="00895FF0" w:rsidRPr="006157A9">
        <w:t xml:space="preserve"> </w:t>
      </w:r>
      <w:proofErr w:type="spellStart"/>
      <w:r w:rsidR="00895FF0" w:rsidRPr="006157A9">
        <w:t>sugli</w:t>
      </w:r>
      <w:proofErr w:type="spellEnd"/>
      <w:r w:rsidR="00895FF0" w:rsidRPr="006157A9">
        <w:t xml:space="preserve"> </w:t>
      </w:r>
      <w:proofErr w:type="spellStart"/>
      <w:r w:rsidR="00895FF0" w:rsidRPr="006157A9">
        <w:t>alimenti</w:t>
      </w:r>
      <w:proofErr w:type="spellEnd"/>
      <w:r w:rsidR="00895FF0" w:rsidRPr="006157A9">
        <w:t xml:space="preserve"> per </w:t>
      </w:r>
      <w:proofErr w:type="spellStart"/>
      <w:r w:rsidR="00895FF0" w:rsidRPr="006157A9">
        <w:t>animali</w:t>
      </w:r>
      <w:proofErr w:type="spellEnd"/>
      <w:r w:rsidR="00B67434" w:rsidRPr="006157A9">
        <w:t xml:space="preserve"> (</w:t>
      </w:r>
      <w:r w:rsidR="00895FF0" w:rsidRPr="006157A9">
        <w:t>916.307</w:t>
      </w:r>
      <w:r w:rsidR="00B67434" w:rsidRPr="006157A9">
        <w:t>)</w:t>
      </w:r>
      <w:bookmarkEnd w:id="15"/>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B33F4A" w14:paraId="42114A5A" w14:textId="77777777">
        <w:trPr>
          <w:tblHeader/>
        </w:trPr>
        <w:tc>
          <w:tcPr>
            <w:tcW w:w="14092" w:type="dxa"/>
            <w:tcBorders>
              <w:top w:val="single" w:sz="4" w:space="0" w:color="auto"/>
              <w:left w:val="single" w:sz="4" w:space="0" w:color="auto"/>
              <w:bottom w:val="nil"/>
              <w:right w:val="single" w:sz="4" w:space="0" w:color="auto"/>
            </w:tcBorders>
          </w:tcPr>
          <w:p w14:paraId="30A92D7A" w14:textId="77777777" w:rsidR="00B33F4A" w:rsidRDefault="00B67434">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65427863" w14:textId="77777777" w:rsidR="00B33F4A" w:rsidRDefault="00B33F4A">
            <w:pPr>
              <w:pStyle w:val="Betreff"/>
              <w:widowControl/>
              <w:spacing w:before="0" w:after="0" w:line="240" w:lineRule="auto"/>
            </w:pPr>
          </w:p>
        </w:tc>
      </w:tr>
      <w:tr w:rsidR="00B33F4A" w14:paraId="67893984" w14:textId="77777777">
        <w:trPr>
          <w:cantSplit/>
          <w:trHeight w:val="1134"/>
          <w:tblHeader/>
        </w:trPr>
        <w:tc>
          <w:tcPr>
            <w:tcW w:w="14092" w:type="dxa"/>
            <w:tcBorders>
              <w:top w:val="nil"/>
              <w:left w:val="single" w:sz="4" w:space="0" w:color="auto"/>
              <w:bottom w:val="single" w:sz="4" w:space="0" w:color="auto"/>
              <w:right w:val="single" w:sz="4" w:space="0" w:color="auto"/>
            </w:tcBorders>
          </w:tcPr>
          <w:p w14:paraId="2C5E371D" w14:textId="77777777" w:rsidR="00B33F4A" w:rsidRDefault="00293B91">
            <w:r>
              <w:t>Pas de remarque particulière</w:t>
            </w:r>
          </w:p>
        </w:tc>
        <w:tc>
          <w:tcPr>
            <w:tcW w:w="532" w:type="dxa"/>
            <w:tcBorders>
              <w:top w:val="nil"/>
              <w:left w:val="single" w:sz="4" w:space="0" w:color="auto"/>
              <w:bottom w:val="nil"/>
              <w:right w:val="nil"/>
            </w:tcBorders>
            <w:shd w:val="clear" w:color="auto" w:fill="auto"/>
          </w:tcPr>
          <w:p w14:paraId="357513E6" w14:textId="77777777" w:rsidR="00B33F4A" w:rsidRDefault="00B33F4A">
            <w:pPr>
              <w:rPr>
                <w:b/>
              </w:rPr>
            </w:pPr>
          </w:p>
        </w:tc>
      </w:tr>
    </w:tbl>
    <w:p w14:paraId="16706A6D" w14:textId="77777777" w:rsidR="00B33F4A" w:rsidRDefault="00B33F4A"/>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B33F4A" w:rsidRPr="00971C09" w14:paraId="33052643" w14:textId="77777777">
        <w:trPr>
          <w:tblHeader/>
        </w:trPr>
        <w:tc>
          <w:tcPr>
            <w:tcW w:w="2943" w:type="dxa"/>
          </w:tcPr>
          <w:p w14:paraId="71AF9988" w14:textId="77777777" w:rsidR="00B33F4A" w:rsidRDefault="00B67434">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8A1F09C" w14:textId="77777777" w:rsidR="00B33F4A" w:rsidRDefault="00B67434">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77989AC3" w14:textId="77777777" w:rsidR="00B33F4A" w:rsidRPr="007132B1" w:rsidRDefault="00B67434">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3476220D" w14:textId="77777777" w:rsidR="00B33F4A" w:rsidRPr="007132B1" w:rsidRDefault="00B33F4A">
            <w:pPr>
              <w:widowControl/>
              <w:spacing w:after="0" w:line="240" w:lineRule="auto"/>
              <w:rPr>
                <w:b/>
                <w:lang w:val="de-CH"/>
              </w:rPr>
            </w:pPr>
          </w:p>
        </w:tc>
      </w:tr>
      <w:tr w:rsidR="00B33F4A" w:rsidRPr="00971C09" w14:paraId="05B95CB2" w14:textId="77777777">
        <w:tc>
          <w:tcPr>
            <w:tcW w:w="2943" w:type="dxa"/>
          </w:tcPr>
          <w:p w14:paraId="6799B480" w14:textId="77777777" w:rsidR="00B33F4A" w:rsidRPr="006157A9" w:rsidRDefault="00B33F4A">
            <w:pPr>
              <w:pStyle w:val="Anhang"/>
              <w:tabs>
                <w:tab w:val="clear" w:pos="1276"/>
              </w:tabs>
              <w:spacing w:before="0" w:after="260"/>
              <w:outlineLvl w:val="9"/>
              <w:rPr>
                <w:lang w:val="de-CH" w:eastAsia="de-CH"/>
              </w:rPr>
            </w:pPr>
          </w:p>
        </w:tc>
        <w:tc>
          <w:tcPr>
            <w:tcW w:w="5529" w:type="dxa"/>
          </w:tcPr>
          <w:p w14:paraId="0EAE7C61" w14:textId="77777777" w:rsidR="00B33F4A" w:rsidRPr="007132B1" w:rsidRDefault="00B33F4A">
            <w:pPr>
              <w:rPr>
                <w:lang w:val="de-CH"/>
              </w:rPr>
            </w:pPr>
          </w:p>
        </w:tc>
        <w:tc>
          <w:tcPr>
            <w:tcW w:w="5620" w:type="dxa"/>
          </w:tcPr>
          <w:p w14:paraId="56E63B9A" w14:textId="77777777" w:rsidR="00B33F4A" w:rsidRPr="007132B1" w:rsidRDefault="00B33F4A">
            <w:pPr>
              <w:rPr>
                <w:lang w:val="de-CH"/>
              </w:rPr>
            </w:pPr>
          </w:p>
        </w:tc>
        <w:tc>
          <w:tcPr>
            <w:tcW w:w="532" w:type="dxa"/>
            <w:tcBorders>
              <w:top w:val="nil"/>
              <w:bottom w:val="nil"/>
              <w:right w:val="nil"/>
            </w:tcBorders>
            <w:shd w:val="clear" w:color="auto" w:fill="auto"/>
          </w:tcPr>
          <w:p w14:paraId="59895CC8" w14:textId="77777777" w:rsidR="00B33F4A" w:rsidRPr="007132B1" w:rsidRDefault="00B33F4A">
            <w:pPr>
              <w:rPr>
                <w:b/>
                <w:lang w:val="de-CH"/>
              </w:rPr>
            </w:pPr>
          </w:p>
        </w:tc>
      </w:tr>
    </w:tbl>
    <w:p w14:paraId="3325CBB1" w14:textId="77777777" w:rsidR="00522AB9" w:rsidRPr="008B5D61" w:rsidRDefault="00522AB9" w:rsidP="00522AB9">
      <w:pPr>
        <w:pStyle w:val="Titre1"/>
        <w:rPr>
          <w:lang w:val="it-CH"/>
        </w:rPr>
      </w:pPr>
      <w:bookmarkStart w:id="16" w:name="_Toc93667903"/>
      <w:r w:rsidRPr="008B5D61">
        <w:rPr>
          <w:lang w:val="it-CH"/>
        </w:rPr>
        <w:lastRenderedPageBreak/>
        <w:t xml:space="preserve">BR 13 Tierzuchtverordnung / </w:t>
      </w:r>
      <w:r w:rsidR="008B5D61" w:rsidRPr="008B5D61">
        <w:rPr>
          <w:lang w:val="it-CH"/>
        </w:rPr>
        <w:t>Ordonnance sur l’élevage</w:t>
      </w:r>
      <w:r w:rsidRPr="008B5D61">
        <w:rPr>
          <w:lang w:val="it-CH"/>
        </w:rPr>
        <w:t xml:space="preserve"> / </w:t>
      </w:r>
      <w:r w:rsidR="00895FF0" w:rsidRPr="00895FF0">
        <w:rPr>
          <w:lang w:val="it-CH"/>
        </w:rPr>
        <w:t>Ordinanza sull’allevamento di animali</w:t>
      </w:r>
      <w:r w:rsidRPr="008B5D61">
        <w:rPr>
          <w:lang w:val="it-CH"/>
        </w:rPr>
        <w:t xml:space="preserve"> (</w:t>
      </w:r>
      <w:r w:rsidR="00895FF0">
        <w:rPr>
          <w:lang w:val="it-CH"/>
        </w:rPr>
        <w:t>916.310</w:t>
      </w:r>
      <w:r w:rsidRPr="008B5D61">
        <w:rPr>
          <w:lang w:val="it-CH"/>
        </w:rPr>
        <w:t>)</w:t>
      </w:r>
      <w:bookmarkEnd w:id="16"/>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3B487716" w14:textId="77777777" w:rsidTr="003510EA">
        <w:trPr>
          <w:tblHeader/>
        </w:trPr>
        <w:tc>
          <w:tcPr>
            <w:tcW w:w="14092" w:type="dxa"/>
            <w:tcBorders>
              <w:top w:val="single" w:sz="4" w:space="0" w:color="auto"/>
              <w:left w:val="single" w:sz="4" w:space="0" w:color="auto"/>
              <w:bottom w:val="nil"/>
              <w:right w:val="single" w:sz="4" w:space="0" w:color="auto"/>
            </w:tcBorders>
          </w:tcPr>
          <w:p w14:paraId="4C041387"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536DEDCB" w14:textId="77777777" w:rsidR="00522AB9" w:rsidRDefault="00522AB9" w:rsidP="003510EA">
            <w:pPr>
              <w:pStyle w:val="Betreff"/>
              <w:widowControl/>
              <w:spacing w:before="0" w:after="0" w:line="240" w:lineRule="auto"/>
            </w:pPr>
          </w:p>
        </w:tc>
      </w:tr>
      <w:tr w:rsidR="00522AB9" w:rsidRPr="003F5D0C" w14:paraId="3C98B6D6"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660D67DF" w14:textId="77777777" w:rsidR="00522AB9" w:rsidRPr="00293B91" w:rsidRDefault="00293B91" w:rsidP="003510EA">
            <w:r w:rsidRPr="00293B91">
              <w:t xml:space="preserve">Sur le principe, nous ne </w:t>
            </w:r>
            <w:r w:rsidR="00BE50FD">
              <w:t>sommes pas opposés à un soutien élargi à l’ensemble des races suisses menacées. Toutefois, ceci doit se faire par un crédit et un instrument supplémentaire et non au détriment du soutien actuel à la race Franches-Montagnes.</w:t>
            </w:r>
          </w:p>
        </w:tc>
        <w:tc>
          <w:tcPr>
            <w:tcW w:w="532" w:type="dxa"/>
            <w:tcBorders>
              <w:top w:val="nil"/>
              <w:left w:val="single" w:sz="4" w:space="0" w:color="auto"/>
              <w:bottom w:val="nil"/>
              <w:right w:val="nil"/>
            </w:tcBorders>
            <w:shd w:val="clear" w:color="auto" w:fill="auto"/>
          </w:tcPr>
          <w:p w14:paraId="2B56D0E5" w14:textId="77777777" w:rsidR="00522AB9" w:rsidRPr="00293B91" w:rsidRDefault="00522AB9" w:rsidP="003510EA">
            <w:pPr>
              <w:rPr>
                <w:b/>
              </w:rPr>
            </w:pPr>
          </w:p>
        </w:tc>
      </w:tr>
    </w:tbl>
    <w:p w14:paraId="49AAFAD2" w14:textId="77777777" w:rsidR="00522AB9" w:rsidRPr="00293B91"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4D51C360" w14:textId="77777777" w:rsidTr="003510EA">
        <w:trPr>
          <w:tblHeader/>
        </w:trPr>
        <w:tc>
          <w:tcPr>
            <w:tcW w:w="2943" w:type="dxa"/>
          </w:tcPr>
          <w:p w14:paraId="3F652447"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262D9767" w14:textId="77777777" w:rsidR="00522AB9" w:rsidRDefault="00522AB9" w:rsidP="003510EA">
            <w:pPr>
              <w:spacing w:after="0"/>
              <w:rPr>
                <w:b/>
              </w:rPr>
            </w:pPr>
            <w:proofErr w:type="spellStart"/>
            <w:r w:rsidRPr="00BE50FD">
              <w:rPr>
                <w:b/>
              </w:rPr>
              <w:t>Antrag</w:t>
            </w:r>
            <w:proofErr w:type="spellEnd"/>
            <w:r w:rsidRPr="00BE50FD">
              <w:rPr>
                <w:b/>
              </w:rPr>
              <w:br/>
              <w:t>P</w:t>
            </w:r>
            <w:r>
              <w:rPr>
                <w:b/>
              </w:rPr>
              <w:t>roposition</w:t>
            </w:r>
            <w:r>
              <w:rPr>
                <w:b/>
              </w:rPr>
              <w:br/>
            </w:r>
            <w:proofErr w:type="spellStart"/>
            <w:r>
              <w:rPr>
                <w:b/>
              </w:rPr>
              <w:t>Richiesta</w:t>
            </w:r>
            <w:proofErr w:type="spellEnd"/>
          </w:p>
        </w:tc>
        <w:tc>
          <w:tcPr>
            <w:tcW w:w="5620" w:type="dxa"/>
          </w:tcPr>
          <w:p w14:paraId="3E161B91"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712C58A6" w14:textId="77777777" w:rsidR="00522AB9" w:rsidRPr="007132B1" w:rsidRDefault="00522AB9" w:rsidP="003510EA">
            <w:pPr>
              <w:widowControl/>
              <w:spacing w:after="0" w:line="240" w:lineRule="auto"/>
              <w:rPr>
                <w:b/>
                <w:lang w:val="de-CH"/>
              </w:rPr>
            </w:pPr>
          </w:p>
        </w:tc>
      </w:tr>
      <w:tr w:rsidR="00522AB9" w:rsidRPr="003F5D0C" w14:paraId="7D78011B" w14:textId="77777777" w:rsidTr="003510EA">
        <w:tc>
          <w:tcPr>
            <w:tcW w:w="2943" w:type="dxa"/>
          </w:tcPr>
          <w:p w14:paraId="54C12971" w14:textId="77777777" w:rsidR="00522AB9" w:rsidRPr="006157A9" w:rsidRDefault="00BE50FD" w:rsidP="003510EA">
            <w:pPr>
              <w:pStyle w:val="Anhang"/>
              <w:tabs>
                <w:tab w:val="clear" w:pos="1276"/>
              </w:tabs>
              <w:spacing w:before="0" w:after="260"/>
              <w:outlineLvl w:val="9"/>
              <w:rPr>
                <w:lang w:val="de-CH" w:eastAsia="de-CH"/>
              </w:rPr>
            </w:pPr>
            <w:r>
              <w:rPr>
                <w:lang w:val="de-CH" w:eastAsia="de-CH"/>
              </w:rPr>
              <w:t>Art. 23c, al. 1</w:t>
            </w:r>
          </w:p>
        </w:tc>
        <w:tc>
          <w:tcPr>
            <w:tcW w:w="5529" w:type="dxa"/>
          </w:tcPr>
          <w:p w14:paraId="115FBFA7" w14:textId="77777777" w:rsidR="00522AB9" w:rsidRPr="00BE50FD" w:rsidRDefault="00BE50FD" w:rsidP="00BE50FD">
            <w:r w:rsidRPr="00BE50FD">
              <w:t xml:space="preserve">Le montant maximum alloué pour la préservation des races suisses des espèces bovine, </w:t>
            </w:r>
            <w:r w:rsidRPr="00BE50FD">
              <w:rPr>
                <w:strike/>
              </w:rPr>
              <w:t>équine,</w:t>
            </w:r>
            <w:r w:rsidRPr="00BE50FD">
              <w:t xml:space="preserve"> porcine, ovine et caprine, dont le statut est «critique» ou «menacé», s’élève au total à 3 900 000 francs par an.</w:t>
            </w:r>
          </w:p>
        </w:tc>
        <w:tc>
          <w:tcPr>
            <w:tcW w:w="5620" w:type="dxa"/>
          </w:tcPr>
          <w:p w14:paraId="214816DA" w14:textId="77777777" w:rsidR="00522AB9" w:rsidRPr="00BE50FD" w:rsidRDefault="00BE50FD" w:rsidP="00BE50FD">
            <w:r>
              <w:t>Nous demandons le maintien de l’art. 24 actuel consacré spécifiquement au Franches-Montagnes qui est la seule race équine indigène. De ce fait, les chevaux n’ont plus à être mentionnés ici.</w:t>
            </w:r>
          </w:p>
        </w:tc>
        <w:tc>
          <w:tcPr>
            <w:tcW w:w="532" w:type="dxa"/>
            <w:tcBorders>
              <w:top w:val="nil"/>
              <w:bottom w:val="nil"/>
              <w:right w:val="nil"/>
            </w:tcBorders>
            <w:shd w:val="clear" w:color="auto" w:fill="auto"/>
          </w:tcPr>
          <w:p w14:paraId="65A170FA" w14:textId="77777777" w:rsidR="00522AB9" w:rsidRPr="00BE50FD" w:rsidRDefault="00522AB9" w:rsidP="003510EA">
            <w:pPr>
              <w:rPr>
                <w:b/>
              </w:rPr>
            </w:pPr>
          </w:p>
        </w:tc>
      </w:tr>
      <w:tr w:rsidR="00522AB9" w:rsidRPr="00BE50FD" w14:paraId="5B7B472D" w14:textId="77777777" w:rsidTr="003510EA">
        <w:tc>
          <w:tcPr>
            <w:tcW w:w="2943" w:type="dxa"/>
          </w:tcPr>
          <w:p w14:paraId="7FCF6449" w14:textId="77777777" w:rsidR="00522AB9" w:rsidRPr="007132B1" w:rsidRDefault="00BE50FD" w:rsidP="003510EA">
            <w:pPr>
              <w:rPr>
                <w:lang w:val="de-CH"/>
              </w:rPr>
            </w:pPr>
            <w:r w:rsidRPr="007132B1">
              <w:rPr>
                <w:lang w:val="de-CH"/>
              </w:rPr>
              <w:t xml:space="preserve">Art. 23c, al. 2, </w:t>
            </w:r>
            <w:proofErr w:type="spellStart"/>
            <w:r w:rsidRPr="007132B1">
              <w:rPr>
                <w:lang w:val="de-CH"/>
              </w:rPr>
              <w:t>let</w:t>
            </w:r>
            <w:proofErr w:type="spellEnd"/>
            <w:r w:rsidRPr="007132B1">
              <w:rPr>
                <w:lang w:val="de-CH"/>
              </w:rPr>
              <w:t>. b</w:t>
            </w:r>
          </w:p>
        </w:tc>
        <w:tc>
          <w:tcPr>
            <w:tcW w:w="5529" w:type="dxa"/>
          </w:tcPr>
          <w:p w14:paraId="524751E9" w14:textId="77777777" w:rsidR="00522AB9" w:rsidRPr="00BE50FD" w:rsidRDefault="00BE50FD" w:rsidP="00BE50FD">
            <w:pPr>
              <w:spacing w:after="0"/>
              <w:rPr>
                <w:strike/>
              </w:rPr>
            </w:pPr>
            <w:r w:rsidRPr="00BE50FD">
              <w:rPr>
                <w:strike/>
              </w:rPr>
              <w:t xml:space="preserve">Pour les </w:t>
            </w:r>
            <w:proofErr w:type="gramStart"/>
            <w:r w:rsidRPr="00BE50FD">
              <w:rPr>
                <w:strike/>
              </w:rPr>
              <w:t>équidés:</w:t>
            </w:r>
            <w:proofErr w:type="gramEnd"/>
          </w:p>
          <w:p w14:paraId="151E2832" w14:textId="77777777" w:rsidR="00BE50FD" w:rsidRPr="00BE50FD" w:rsidRDefault="00BE50FD" w:rsidP="00BE50FD">
            <w:pPr>
              <w:pStyle w:val="Paragraphedeliste"/>
              <w:numPr>
                <w:ilvl w:val="0"/>
                <w:numId w:val="26"/>
              </w:numPr>
              <w:rPr>
                <w:strike/>
              </w:rPr>
            </w:pPr>
            <w:r w:rsidRPr="00BE50FD">
              <w:rPr>
                <w:strike/>
              </w:rPr>
              <w:t>par animal mâle 490 Francs</w:t>
            </w:r>
          </w:p>
          <w:p w14:paraId="40F8C3C1" w14:textId="77777777" w:rsidR="00BE50FD" w:rsidRPr="00BE50FD" w:rsidRDefault="00BE50FD" w:rsidP="00BE50FD">
            <w:pPr>
              <w:pStyle w:val="Paragraphedeliste"/>
              <w:numPr>
                <w:ilvl w:val="0"/>
                <w:numId w:val="26"/>
              </w:numPr>
              <w:rPr>
                <w:strike/>
              </w:rPr>
            </w:pPr>
            <w:r w:rsidRPr="00BE50FD">
              <w:rPr>
                <w:strike/>
              </w:rPr>
              <w:t>par animal femelle 245 Francs</w:t>
            </w:r>
          </w:p>
        </w:tc>
        <w:tc>
          <w:tcPr>
            <w:tcW w:w="5620" w:type="dxa"/>
          </w:tcPr>
          <w:p w14:paraId="227AA8CB" w14:textId="77777777" w:rsidR="00522AB9" w:rsidRPr="00BE50FD" w:rsidRDefault="00BE50FD" w:rsidP="003510EA">
            <w:r>
              <w:t>Même remarque</w:t>
            </w:r>
          </w:p>
        </w:tc>
        <w:tc>
          <w:tcPr>
            <w:tcW w:w="532" w:type="dxa"/>
            <w:tcBorders>
              <w:top w:val="nil"/>
              <w:bottom w:val="nil"/>
              <w:right w:val="nil"/>
            </w:tcBorders>
            <w:shd w:val="clear" w:color="auto" w:fill="auto"/>
          </w:tcPr>
          <w:p w14:paraId="56AA39E1" w14:textId="77777777" w:rsidR="00522AB9" w:rsidRPr="00BE50FD" w:rsidRDefault="00522AB9" w:rsidP="003510EA">
            <w:pPr>
              <w:rPr>
                <w:b/>
              </w:rPr>
            </w:pPr>
          </w:p>
        </w:tc>
      </w:tr>
      <w:tr w:rsidR="00BE50FD" w:rsidRPr="00BE50FD" w14:paraId="3C520AEF" w14:textId="77777777" w:rsidTr="00D83091">
        <w:tc>
          <w:tcPr>
            <w:tcW w:w="2943" w:type="dxa"/>
          </w:tcPr>
          <w:p w14:paraId="23666C68" w14:textId="77777777" w:rsidR="00BE50FD" w:rsidRPr="007132B1" w:rsidRDefault="00BE50FD" w:rsidP="00BE50FD">
            <w:pPr>
              <w:rPr>
                <w:lang w:val="de-CH"/>
              </w:rPr>
            </w:pPr>
            <w:r w:rsidRPr="007132B1">
              <w:rPr>
                <w:lang w:val="de-CH"/>
              </w:rPr>
              <w:t xml:space="preserve">Art. 23c, al. 3, </w:t>
            </w:r>
            <w:proofErr w:type="spellStart"/>
            <w:r w:rsidRPr="007132B1">
              <w:rPr>
                <w:lang w:val="de-CH"/>
              </w:rPr>
              <w:t>let</w:t>
            </w:r>
            <w:proofErr w:type="spellEnd"/>
            <w:r w:rsidRPr="007132B1">
              <w:rPr>
                <w:lang w:val="de-CH"/>
              </w:rPr>
              <w:t>. b</w:t>
            </w:r>
          </w:p>
        </w:tc>
        <w:tc>
          <w:tcPr>
            <w:tcW w:w="5529" w:type="dxa"/>
          </w:tcPr>
          <w:p w14:paraId="2B598A34" w14:textId="77777777" w:rsidR="00BE50FD" w:rsidRPr="00BE50FD" w:rsidRDefault="00BE50FD" w:rsidP="00D83091">
            <w:pPr>
              <w:spacing w:after="0"/>
              <w:rPr>
                <w:strike/>
              </w:rPr>
            </w:pPr>
            <w:r w:rsidRPr="00BE50FD">
              <w:rPr>
                <w:strike/>
              </w:rPr>
              <w:t xml:space="preserve">Pour les </w:t>
            </w:r>
            <w:proofErr w:type="gramStart"/>
            <w:r w:rsidRPr="00BE50FD">
              <w:rPr>
                <w:strike/>
              </w:rPr>
              <w:t>équidés:</w:t>
            </w:r>
            <w:proofErr w:type="gramEnd"/>
          </w:p>
          <w:p w14:paraId="2517BE1D" w14:textId="77777777" w:rsidR="00BE50FD" w:rsidRPr="00BE50FD" w:rsidRDefault="00BE50FD" w:rsidP="00BE50FD">
            <w:pPr>
              <w:pStyle w:val="Paragraphedeliste"/>
              <w:numPr>
                <w:ilvl w:val="0"/>
                <w:numId w:val="27"/>
              </w:numPr>
              <w:rPr>
                <w:strike/>
              </w:rPr>
            </w:pPr>
            <w:r w:rsidRPr="00BE50FD">
              <w:rPr>
                <w:strike/>
              </w:rPr>
              <w:t xml:space="preserve">par animal mâle </w:t>
            </w:r>
            <w:r>
              <w:rPr>
                <w:strike/>
              </w:rPr>
              <w:t>35</w:t>
            </w:r>
            <w:r w:rsidRPr="00BE50FD">
              <w:rPr>
                <w:strike/>
              </w:rPr>
              <w:t>0 Francs</w:t>
            </w:r>
          </w:p>
          <w:p w14:paraId="1AE5347B" w14:textId="77777777" w:rsidR="00BE50FD" w:rsidRPr="00BE50FD" w:rsidRDefault="00BE50FD" w:rsidP="00BE50FD">
            <w:pPr>
              <w:pStyle w:val="Paragraphedeliste"/>
              <w:numPr>
                <w:ilvl w:val="0"/>
                <w:numId w:val="27"/>
              </w:numPr>
              <w:rPr>
                <w:strike/>
              </w:rPr>
            </w:pPr>
            <w:r w:rsidRPr="00BE50FD">
              <w:rPr>
                <w:strike/>
              </w:rPr>
              <w:t xml:space="preserve">par animal femelle </w:t>
            </w:r>
            <w:r>
              <w:rPr>
                <w:strike/>
              </w:rPr>
              <w:t>17</w:t>
            </w:r>
            <w:r w:rsidRPr="00BE50FD">
              <w:rPr>
                <w:strike/>
              </w:rPr>
              <w:t>5 Francs</w:t>
            </w:r>
          </w:p>
        </w:tc>
        <w:tc>
          <w:tcPr>
            <w:tcW w:w="5620" w:type="dxa"/>
          </w:tcPr>
          <w:p w14:paraId="661B1345" w14:textId="77777777" w:rsidR="00BE50FD" w:rsidRPr="00BE50FD" w:rsidRDefault="00BE50FD" w:rsidP="00D83091">
            <w:r>
              <w:t>Même remarque</w:t>
            </w:r>
          </w:p>
        </w:tc>
        <w:tc>
          <w:tcPr>
            <w:tcW w:w="532" w:type="dxa"/>
            <w:tcBorders>
              <w:top w:val="nil"/>
              <w:bottom w:val="nil"/>
              <w:right w:val="nil"/>
            </w:tcBorders>
            <w:shd w:val="clear" w:color="auto" w:fill="auto"/>
          </w:tcPr>
          <w:p w14:paraId="37BF2DEF" w14:textId="77777777" w:rsidR="00BE50FD" w:rsidRPr="00BE50FD" w:rsidRDefault="00BE50FD" w:rsidP="00D83091">
            <w:pPr>
              <w:rPr>
                <w:b/>
              </w:rPr>
            </w:pPr>
          </w:p>
        </w:tc>
      </w:tr>
      <w:tr w:rsidR="00522AB9" w:rsidRPr="00BE50FD" w14:paraId="06458B51" w14:textId="77777777" w:rsidTr="003510EA">
        <w:tc>
          <w:tcPr>
            <w:tcW w:w="2943" w:type="dxa"/>
          </w:tcPr>
          <w:p w14:paraId="327A35E3" w14:textId="77777777" w:rsidR="00522AB9" w:rsidRPr="00BE50FD" w:rsidRDefault="00BE50FD" w:rsidP="003510EA">
            <w:r w:rsidRPr="00BE50FD">
              <w:t xml:space="preserve">Art. 23d, al. </w:t>
            </w:r>
            <w:r>
              <w:t>1</w:t>
            </w:r>
          </w:p>
        </w:tc>
        <w:tc>
          <w:tcPr>
            <w:tcW w:w="5529" w:type="dxa"/>
          </w:tcPr>
          <w:p w14:paraId="15720EBF" w14:textId="77777777" w:rsidR="00522AB9" w:rsidRPr="00BE50FD" w:rsidRDefault="00BE50FD" w:rsidP="003510EA">
            <w:r w:rsidRPr="00BE50FD">
              <w:t xml:space="preserve">Les contributions pour la préservation de races suisses dont le statut est «critique» ou «menacé» sont octroyés pour des animaux des espèces bovine, </w:t>
            </w:r>
            <w:r w:rsidRPr="00BE50FD">
              <w:rPr>
                <w:strike/>
              </w:rPr>
              <w:t>équine,</w:t>
            </w:r>
            <w:r w:rsidRPr="00BE50FD">
              <w:t xml:space="preserve"> porcine, ovine et </w:t>
            </w:r>
            <w:proofErr w:type="gramStart"/>
            <w:r w:rsidRPr="00BE50FD">
              <w:t>caprine:</w:t>
            </w:r>
            <w:proofErr w:type="gramEnd"/>
          </w:p>
        </w:tc>
        <w:tc>
          <w:tcPr>
            <w:tcW w:w="5620" w:type="dxa"/>
          </w:tcPr>
          <w:p w14:paraId="53AC8197" w14:textId="77777777" w:rsidR="00522AB9" w:rsidRPr="00BE50FD" w:rsidRDefault="00BE50FD" w:rsidP="003510EA">
            <w:r>
              <w:t>Même remarque</w:t>
            </w:r>
          </w:p>
        </w:tc>
        <w:tc>
          <w:tcPr>
            <w:tcW w:w="532" w:type="dxa"/>
            <w:tcBorders>
              <w:top w:val="nil"/>
              <w:bottom w:val="nil"/>
              <w:right w:val="nil"/>
            </w:tcBorders>
            <w:shd w:val="clear" w:color="auto" w:fill="auto"/>
          </w:tcPr>
          <w:p w14:paraId="1BF44D48" w14:textId="77777777" w:rsidR="00522AB9" w:rsidRPr="00BE50FD" w:rsidRDefault="00522AB9" w:rsidP="003510EA">
            <w:pPr>
              <w:rPr>
                <w:b/>
              </w:rPr>
            </w:pPr>
          </w:p>
        </w:tc>
      </w:tr>
      <w:tr w:rsidR="00522AB9" w:rsidRPr="00BE50FD" w14:paraId="0125E32A" w14:textId="77777777" w:rsidTr="003510EA">
        <w:tc>
          <w:tcPr>
            <w:tcW w:w="2943" w:type="dxa"/>
          </w:tcPr>
          <w:p w14:paraId="34FE52D5" w14:textId="77777777" w:rsidR="00522AB9" w:rsidRPr="007132B1" w:rsidRDefault="00BE50FD" w:rsidP="003510EA">
            <w:pPr>
              <w:rPr>
                <w:lang w:val="de-CH"/>
              </w:rPr>
            </w:pPr>
            <w:r w:rsidRPr="007132B1">
              <w:rPr>
                <w:lang w:val="de-CH"/>
              </w:rPr>
              <w:t xml:space="preserve">Art. 23d, al. 2, </w:t>
            </w:r>
            <w:proofErr w:type="spellStart"/>
            <w:r w:rsidRPr="007132B1">
              <w:rPr>
                <w:lang w:val="de-CH"/>
              </w:rPr>
              <w:t>let</w:t>
            </w:r>
            <w:proofErr w:type="spellEnd"/>
            <w:r w:rsidRPr="007132B1">
              <w:rPr>
                <w:lang w:val="de-CH"/>
              </w:rPr>
              <w:t>. b</w:t>
            </w:r>
          </w:p>
        </w:tc>
        <w:tc>
          <w:tcPr>
            <w:tcW w:w="5529" w:type="dxa"/>
          </w:tcPr>
          <w:p w14:paraId="1BBC75E5" w14:textId="77777777" w:rsidR="00522AB9" w:rsidRPr="00BE50FD" w:rsidRDefault="00BE50FD" w:rsidP="003510EA">
            <w:r>
              <w:t xml:space="preserve">porcins </w:t>
            </w:r>
            <w:r w:rsidRPr="00BE50FD">
              <w:rPr>
                <w:strike/>
              </w:rPr>
              <w:t xml:space="preserve">et </w:t>
            </w:r>
            <w:proofErr w:type="gramStart"/>
            <w:r w:rsidRPr="00BE50FD">
              <w:rPr>
                <w:strike/>
              </w:rPr>
              <w:t>équidés</w:t>
            </w:r>
            <w:r>
              <w:t>:</w:t>
            </w:r>
            <w:proofErr w:type="gramEnd"/>
            <w:r>
              <w:t xml:space="preserve"> 10 %.</w:t>
            </w:r>
          </w:p>
        </w:tc>
        <w:tc>
          <w:tcPr>
            <w:tcW w:w="5620" w:type="dxa"/>
          </w:tcPr>
          <w:p w14:paraId="280394BB" w14:textId="77777777" w:rsidR="00522AB9" w:rsidRPr="00BE50FD" w:rsidRDefault="00BE50FD" w:rsidP="003510EA">
            <w:r>
              <w:t>Même remarque</w:t>
            </w:r>
          </w:p>
        </w:tc>
        <w:tc>
          <w:tcPr>
            <w:tcW w:w="532" w:type="dxa"/>
            <w:tcBorders>
              <w:top w:val="nil"/>
              <w:bottom w:val="nil"/>
              <w:right w:val="nil"/>
            </w:tcBorders>
            <w:shd w:val="clear" w:color="auto" w:fill="auto"/>
          </w:tcPr>
          <w:p w14:paraId="2C6D88CD" w14:textId="77777777" w:rsidR="00522AB9" w:rsidRPr="00BE50FD" w:rsidRDefault="00522AB9" w:rsidP="003510EA">
            <w:pPr>
              <w:rPr>
                <w:b/>
              </w:rPr>
            </w:pPr>
          </w:p>
        </w:tc>
      </w:tr>
      <w:tr w:rsidR="00937E98" w:rsidRPr="00BE50FD" w14:paraId="7F857CFF" w14:textId="77777777" w:rsidTr="003510EA">
        <w:tc>
          <w:tcPr>
            <w:tcW w:w="2943" w:type="dxa"/>
          </w:tcPr>
          <w:p w14:paraId="258868B3" w14:textId="77777777" w:rsidR="00937E98" w:rsidRPr="00BE50FD" w:rsidRDefault="00937E98" w:rsidP="00937E98">
            <w:r w:rsidRPr="00BE50FD">
              <w:t>Art. 23d, al. 3, let. a</w:t>
            </w:r>
          </w:p>
        </w:tc>
        <w:tc>
          <w:tcPr>
            <w:tcW w:w="5529" w:type="dxa"/>
          </w:tcPr>
          <w:p w14:paraId="7D255578" w14:textId="77777777" w:rsidR="00937E98" w:rsidRPr="00BE50FD" w:rsidRDefault="00937E98" w:rsidP="00937E98">
            <w:r w:rsidRPr="00BE50FD">
              <w:t>dans le cas des races dont le statut est «critique</w:t>
            </w:r>
            <w:proofErr w:type="gramStart"/>
            <w:r w:rsidRPr="00BE50FD">
              <w:t>»:</w:t>
            </w:r>
            <w:proofErr w:type="gramEnd"/>
            <w:r w:rsidRPr="00BE50FD">
              <w:t xml:space="preserve"> 30 000 animaux femelles inscrits au herd-book pour les bovins ou 10 000 animaux femelles inscrits au herd-book pour les porcins, ovins, caprins </w:t>
            </w:r>
            <w:r w:rsidRPr="00937E98">
              <w:rPr>
                <w:strike/>
              </w:rPr>
              <w:t>et équidés</w:t>
            </w:r>
            <w:r w:rsidRPr="00BE50FD">
              <w:t>;</w:t>
            </w:r>
          </w:p>
        </w:tc>
        <w:tc>
          <w:tcPr>
            <w:tcW w:w="5620" w:type="dxa"/>
          </w:tcPr>
          <w:p w14:paraId="1C4CDC03" w14:textId="77777777" w:rsidR="00937E98" w:rsidRPr="00BE50FD" w:rsidRDefault="00937E98" w:rsidP="00937E98">
            <w:r>
              <w:t>Même remarque</w:t>
            </w:r>
          </w:p>
        </w:tc>
        <w:tc>
          <w:tcPr>
            <w:tcW w:w="532" w:type="dxa"/>
            <w:tcBorders>
              <w:top w:val="nil"/>
              <w:bottom w:val="nil"/>
              <w:right w:val="nil"/>
            </w:tcBorders>
            <w:shd w:val="clear" w:color="auto" w:fill="auto"/>
          </w:tcPr>
          <w:p w14:paraId="4BA12140" w14:textId="77777777" w:rsidR="00937E98" w:rsidRPr="00BE50FD" w:rsidRDefault="00937E98" w:rsidP="00937E98">
            <w:pPr>
              <w:rPr>
                <w:b/>
              </w:rPr>
            </w:pPr>
          </w:p>
        </w:tc>
      </w:tr>
      <w:tr w:rsidR="00937E98" w:rsidRPr="00BE50FD" w14:paraId="5E2816F5" w14:textId="77777777" w:rsidTr="003510EA">
        <w:tc>
          <w:tcPr>
            <w:tcW w:w="2943" w:type="dxa"/>
          </w:tcPr>
          <w:p w14:paraId="3F19404B" w14:textId="77777777" w:rsidR="00937E98" w:rsidRPr="007132B1" w:rsidRDefault="00937E98" w:rsidP="00937E98">
            <w:pPr>
              <w:rPr>
                <w:lang w:val="de-CH"/>
              </w:rPr>
            </w:pPr>
            <w:r w:rsidRPr="007132B1">
              <w:rPr>
                <w:lang w:val="de-CH"/>
              </w:rPr>
              <w:lastRenderedPageBreak/>
              <w:t xml:space="preserve">Art. 23d, al. 3, </w:t>
            </w:r>
            <w:proofErr w:type="spellStart"/>
            <w:r w:rsidRPr="007132B1">
              <w:rPr>
                <w:lang w:val="de-CH"/>
              </w:rPr>
              <w:t>let</w:t>
            </w:r>
            <w:proofErr w:type="spellEnd"/>
            <w:r w:rsidRPr="007132B1">
              <w:rPr>
                <w:lang w:val="de-CH"/>
              </w:rPr>
              <w:t>. b</w:t>
            </w:r>
          </w:p>
        </w:tc>
        <w:tc>
          <w:tcPr>
            <w:tcW w:w="5529" w:type="dxa"/>
          </w:tcPr>
          <w:p w14:paraId="46C44840" w14:textId="77777777" w:rsidR="00937E98" w:rsidRPr="00BE50FD" w:rsidRDefault="00937E98" w:rsidP="00937E98">
            <w:r w:rsidRPr="00BE50FD">
              <w:t>dans le cas</w:t>
            </w:r>
            <w:r>
              <w:t xml:space="preserve"> des races dont le statut est «menacé</w:t>
            </w:r>
            <w:proofErr w:type="gramStart"/>
            <w:r w:rsidRPr="00BE50FD">
              <w:t>»:</w:t>
            </w:r>
            <w:proofErr w:type="gramEnd"/>
            <w:r w:rsidRPr="00BE50FD">
              <w:t xml:space="preserve"> </w:t>
            </w:r>
            <w:r>
              <w:t>15</w:t>
            </w:r>
            <w:r w:rsidRPr="00BE50FD">
              <w:t xml:space="preserve"> 000 animaux femelles inscrits a</w:t>
            </w:r>
            <w:r>
              <w:t>u herd-book pour les bovins ou 7</w:t>
            </w:r>
            <w:r w:rsidRPr="00BE50FD">
              <w:t xml:space="preserve"> </w:t>
            </w:r>
            <w:r>
              <w:t>5</w:t>
            </w:r>
            <w:r w:rsidRPr="00BE50FD">
              <w:t xml:space="preserve">00 animaux femelles inscrits au herd-book pour les porcins, ovins, caprins </w:t>
            </w:r>
            <w:r w:rsidRPr="00937E98">
              <w:rPr>
                <w:strike/>
              </w:rPr>
              <w:t>et équidés</w:t>
            </w:r>
            <w:r w:rsidRPr="00BE50FD">
              <w:t>;</w:t>
            </w:r>
          </w:p>
        </w:tc>
        <w:tc>
          <w:tcPr>
            <w:tcW w:w="5620" w:type="dxa"/>
          </w:tcPr>
          <w:p w14:paraId="73149245" w14:textId="77777777" w:rsidR="00937E98" w:rsidRPr="00BE50FD" w:rsidRDefault="00937E98" w:rsidP="00937E98">
            <w:r>
              <w:t>Même remarque</w:t>
            </w:r>
          </w:p>
        </w:tc>
        <w:tc>
          <w:tcPr>
            <w:tcW w:w="532" w:type="dxa"/>
            <w:tcBorders>
              <w:top w:val="nil"/>
              <w:bottom w:val="nil"/>
              <w:right w:val="nil"/>
            </w:tcBorders>
            <w:shd w:val="clear" w:color="auto" w:fill="auto"/>
          </w:tcPr>
          <w:p w14:paraId="773C44CB" w14:textId="77777777" w:rsidR="00937E98" w:rsidRPr="00BE50FD" w:rsidRDefault="00937E98" w:rsidP="00937E98">
            <w:pPr>
              <w:rPr>
                <w:b/>
              </w:rPr>
            </w:pPr>
          </w:p>
        </w:tc>
      </w:tr>
      <w:tr w:rsidR="00937E98" w:rsidRPr="003F5D0C" w14:paraId="00D37792" w14:textId="77777777" w:rsidTr="003510EA">
        <w:tc>
          <w:tcPr>
            <w:tcW w:w="2943" w:type="dxa"/>
          </w:tcPr>
          <w:p w14:paraId="43058E8B" w14:textId="77777777" w:rsidR="00937E98" w:rsidRPr="00BE50FD" w:rsidRDefault="006B2C3B" w:rsidP="00937E98">
            <w:r>
              <w:t>Art. 24, al. 1</w:t>
            </w:r>
          </w:p>
        </w:tc>
        <w:tc>
          <w:tcPr>
            <w:tcW w:w="5529" w:type="dxa"/>
          </w:tcPr>
          <w:p w14:paraId="473A46A8" w14:textId="77777777" w:rsidR="00937E98" w:rsidRPr="006B2C3B" w:rsidRDefault="006B2C3B" w:rsidP="00937E98">
            <w:pPr>
              <w:rPr>
                <w:rFonts w:cs="Arial"/>
                <w:b/>
              </w:rPr>
            </w:pPr>
            <w:r w:rsidRPr="006B2C3B">
              <w:rPr>
                <w:rFonts w:cs="Arial"/>
                <w:b/>
                <w:shd w:val="clear" w:color="auto" w:fill="FFFFFF"/>
              </w:rPr>
              <w:t>Le montant maximum alloué, en complément à l’art. 23, pour la préservation de la race des Franches-Montagnes s’élève à 1 160 000 francs par an.</w:t>
            </w:r>
          </w:p>
        </w:tc>
        <w:tc>
          <w:tcPr>
            <w:tcW w:w="5620" w:type="dxa"/>
          </w:tcPr>
          <w:p w14:paraId="21B584E8" w14:textId="77777777" w:rsidR="00937E98" w:rsidRPr="00BE50FD" w:rsidRDefault="006B2C3B" w:rsidP="00937E98">
            <w:r>
              <w:t>Le statut particulier du Franches-Montagnes est à maintenir.</w:t>
            </w:r>
          </w:p>
        </w:tc>
        <w:tc>
          <w:tcPr>
            <w:tcW w:w="532" w:type="dxa"/>
            <w:tcBorders>
              <w:top w:val="nil"/>
              <w:bottom w:val="nil"/>
              <w:right w:val="nil"/>
            </w:tcBorders>
            <w:shd w:val="clear" w:color="auto" w:fill="auto"/>
          </w:tcPr>
          <w:p w14:paraId="4BB88502" w14:textId="77777777" w:rsidR="00937E98" w:rsidRPr="00BE50FD" w:rsidRDefault="00937E98" w:rsidP="00937E98">
            <w:pPr>
              <w:rPr>
                <w:b/>
              </w:rPr>
            </w:pPr>
          </w:p>
        </w:tc>
      </w:tr>
      <w:tr w:rsidR="00937E98" w:rsidRPr="00BE50FD" w14:paraId="6A936B83" w14:textId="77777777" w:rsidTr="003510EA">
        <w:tc>
          <w:tcPr>
            <w:tcW w:w="2943" w:type="dxa"/>
          </w:tcPr>
          <w:p w14:paraId="4B9EC759" w14:textId="77777777" w:rsidR="00937E98" w:rsidRPr="00BE50FD" w:rsidRDefault="006B2C3B" w:rsidP="00937E98">
            <w:r>
              <w:t>Art. 24, al. 2</w:t>
            </w:r>
          </w:p>
        </w:tc>
        <w:tc>
          <w:tcPr>
            <w:tcW w:w="5529" w:type="dxa"/>
          </w:tcPr>
          <w:p w14:paraId="25527AB9" w14:textId="77777777" w:rsidR="00937E98" w:rsidRPr="006B2C3B" w:rsidRDefault="006B2C3B" w:rsidP="00937E98">
            <w:pPr>
              <w:rPr>
                <w:rFonts w:cs="Arial"/>
                <w:b/>
              </w:rPr>
            </w:pPr>
            <w:r w:rsidRPr="006B2C3B">
              <w:rPr>
                <w:rFonts w:cs="Arial"/>
                <w:b/>
                <w:shd w:val="clear" w:color="auto" w:fill="FFFFFF"/>
              </w:rPr>
              <w:t>La contribution s’élève à 500 francs par jument suitée. Si le montant maximum de 1 160 000 francs par an ne suffit pas, la Fédération suisse du franches-montagnes réduit proportionnellement la contribution par jument suitée.</w:t>
            </w:r>
          </w:p>
        </w:tc>
        <w:tc>
          <w:tcPr>
            <w:tcW w:w="5620" w:type="dxa"/>
          </w:tcPr>
          <w:p w14:paraId="683AE4E5" w14:textId="77777777" w:rsidR="00937E98" w:rsidRPr="00BE50FD" w:rsidRDefault="006B2C3B" w:rsidP="00937E98">
            <w:r>
              <w:t>Même remarque</w:t>
            </w:r>
          </w:p>
        </w:tc>
        <w:tc>
          <w:tcPr>
            <w:tcW w:w="532" w:type="dxa"/>
            <w:tcBorders>
              <w:top w:val="nil"/>
              <w:bottom w:val="nil"/>
              <w:right w:val="nil"/>
            </w:tcBorders>
            <w:shd w:val="clear" w:color="auto" w:fill="auto"/>
          </w:tcPr>
          <w:p w14:paraId="366C0F4A" w14:textId="77777777" w:rsidR="00937E98" w:rsidRPr="00BE50FD" w:rsidRDefault="00937E98" w:rsidP="00937E98">
            <w:pPr>
              <w:rPr>
                <w:b/>
              </w:rPr>
            </w:pPr>
          </w:p>
        </w:tc>
      </w:tr>
      <w:tr w:rsidR="00937E98" w:rsidRPr="00BE50FD" w14:paraId="6F54518B" w14:textId="77777777" w:rsidTr="003510EA">
        <w:tc>
          <w:tcPr>
            <w:tcW w:w="2943" w:type="dxa"/>
          </w:tcPr>
          <w:p w14:paraId="3490746E" w14:textId="77777777" w:rsidR="00937E98" w:rsidRPr="00BE50FD" w:rsidRDefault="006B2C3B" w:rsidP="006B2C3B">
            <w:r>
              <w:t>Art. 24, al. 3</w:t>
            </w:r>
          </w:p>
        </w:tc>
        <w:tc>
          <w:tcPr>
            <w:tcW w:w="5529" w:type="dxa"/>
          </w:tcPr>
          <w:p w14:paraId="24CF72C2" w14:textId="77777777" w:rsidR="00937E98" w:rsidRPr="006B2C3B" w:rsidRDefault="006B2C3B" w:rsidP="00937E98">
            <w:pPr>
              <w:rPr>
                <w:rFonts w:cs="Arial"/>
                <w:b/>
              </w:rPr>
            </w:pPr>
            <w:r w:rsidRPr="006B2C3B">
              <w:rPr>
                <w:rFonts w:cs="Arial"/>
                <w:b/>
                <w:shd w:val="clear" w:color="auto" w:fill="FFFFFF"/>
              </w:rPr>
              <w:t>Toute jument inscrite au herd-book et gardée de manière conforme à la protection des animaux ayant un poulain qui est identifié et inscrit au </w:t>
            </w:r>
            <w:r w:rsidRPr="006B2C3B">
              <w:rPr>
                <w:rFonts w:cs="Arial"/>
                <w:b/>
                <w:i/>
                <w:iCs/>
                <w:shd w:val="clear" w:color="auto" w:fill="FFFFFF"/>
              </w:rPr>
              <w:t>herd-book</w:t>
            </w:r>
            <w:r w:rsidRPr="006B2C3B">
              <w:rPr>
                <w:rFonts w:cs="Arial"/>
                <w:b/>
                <w:shd w:val="clear" w:color="auto" w:fill="FFFFFF"/>
              </w:rPr>
              <w:t> durant l’année de contribution et qui est enregistré dans la banque de données sur le trafic des animaux donne droit à la contribution si le poulain descend d’un étalon inscrit au </w:t>
            </w:r>
            <w:r w:rsidRPr="006B2C3B">
              <w:rPr>
                <w:rFonts w:cs="Arial"/>
                <w:b/>
                <w:i/>
                <w:iCs/>
                <w:shd w:val="clear" w:color="auto" w:fill="FFFFFF"/>
              </w:rPr>
              <w:t>herd-book</w:t>
            </w:r>
            <w:r w:rsidRPr="006B2C3B">
              <w:rPr>
                <w:rFonts w:cs="Arial"/>
                <w:b/>
                <w:shd w:val="clear" w:color="auto" w:fill="FFFFFF"/>
              </w:rPr>
              <w:t> de la race des Franches-Montagnes.</w:t>
            </w:r>
          </w:p>
        </w:tc>
        <w:tc>
          <w:tcPr>
            <w:tcW w:w="5620" w:type="dxa"/>
          </w:tcPr>
          <w:p w14:paraId="45724B4D" w14:textId="77777777" w:rsidR="00937E98" w:rsidRPr="00BE50FD" w:rsidRDefault="006B2C3B" w:rsidP="00937E98">
            <w:r>
              <w:t>Même remarque</w:t>
            </w:r>
          </w:p>
        </w:tc>
        <w:tc>
          <w:tcPr>
            <w:tcW w:w="532" w:type="dxa"/>
            <w:tcBorders>
              <w:top w:val="nil"/>
              <w:bottom w:val="nil"/>
              <w:right w:val="nil"/>
            </w:tcBorders>
            <w:shd w:val="clear" w:color="auto" w:fill="auto"/>
          </w:tcPr>
          <w:p w14:paraId="4CBFA61C" w14:textId="77777777" w:rsidR="00937E98" w:rsidRPr="00BE50FD" w:rsidRDefault="00937E98" w:rsidP="00937E98">
            <w:pPr>
              <w:rPr>
                <w:b/>
              </w:rPr>
            </w:pPr>
          </w:p>
        </w:tc>
      </w:tr>
      <w:tr w:rsidR="00937E98" w:rsidRPr="00BE50FD" w14:paraId="5FC0458E" w14:textId="77777777" w:rsidTr="003510EA">
        <w:tc>
          <w:tcPr>
            <w:tcW w:w="2943" w:type="dxa"/>
          </w:tcPr>
          <w:p w14:paraId="10C92561" w14:textId="77777777" w:rsidR="00937E98" w:rsidRPr="00BE50FD" w:rsidRDefault="006B2C3B" w:rsidP="006B2C3B">
            <w:r>
              <w:t>Art. 24, al. 4</w:t>
            </w:r>
          </w:p>
        </w:tc>
        <w:tc>
          <w:tcPr>
            <w:tcW w:w="5529" w:type="dxa"/>
          </w:tcPr>
          <w:p w14:paraId="0FABB2AA" w14:textId="77777777" w:rsidR="00937E98" w:rsidRPr="006B2C3B" w:rsidRDefault="006B2C3B" w:rsidP="00937E98">
            <w:pPr>
              <w:rPr>
                <w:rFonts w:cs="Arial"/>
                <w:b/>
              </w:rPr>
            </w:pPr>
            <w:r w:rsidRPr="006B2C3B">
              <w:rPr>
                <w:rFonts w:cs="Arial"/>
                <w:b/>
                <w:shd w:val="clear" w:color="auto" w:fill="FFFFFF"/>
              </w:rPr>
              <w:t>Les éleveurs doivent adresser leur demande à la Fédération suisse du franches-montagnes.</w:t>
            </w:r>
          </w:p>
        </w:tc>
        <w:tc>
          <w:tcPr>
            <w:tcW w:w="5620" w:type="dxa"/>
          </w:tcPr>
          <w:p w14:paraId="48F1CE9E" w14:textId="77777777" w:rsidR="00937E98" w:rsidRPr="00BE50FD" w:rsidRDefault="006B2C3B" w:rsidP="00937E98">
            <w:r>
              <w:t>Même remarque</w:t>
            </w:r>
          </w:p>
        </w:tc>
        <w:tc>
          <w:tcPr>
            <w:tcW w:w="532" w:type="dxa"/>
            <w:tcBorders>
              <w:top w:val="nil"/>
              <w:bottom w:val="nil"/>
              <w:right w:val="nil"/>
            </w:tcBorders>
            <w:shd w:val="clear" w:color="auto" w:fill="auto"/>
          </w:tcPr>
          <w:p w14:paraId="7F905956" w14:textId="77777777" w:rsidR="00937E98" w:rsidRPr="00BE50FD" w:rsidRDefault="00937E98" w:rsidP="00937E98">
            <w:pPr>
              <w:rPr>
                <w:b/>
              </w:rPr>
            </w:pPr>
          </w:p>
        </w:tc>
      </w:tr>
      <w:tr w:rsidR="00937E98" w:rsidRPr="00BE50FD" w14:paraId="62F62DB0" w14:textId="77777777" w:rsidTr="003510EA">
        <w:tc>
          <w:tcPr>
            <w:tcW w:w="2943" w:type="dxa"/>
          </w:tcPr>
          <w:p w14:paraId="6E39489A" w14:textId="77777777" w:rsidR="00937E98" w:rsidRPr="00BE50FD" w:rsidRDefault="006B2C3B" w:rsidP="006B2C3B">
            <w:r>
              <w:t>Art. 24, al. 5</w:t>
            </w:r>
          </w:p>
        </w:tc>
        <w:tc>
          <w:tcPr>
            <w:tcW w:w="5529" w:type="dxa"/>
          </w:tcPr>
          <w:p w14:paraId="26A32AFE" w14:textId="77777777" w:rsidR="00937E98" w:rsidRPr="006B2C3B" w:rsidRDefault="006B2C3B" w:rsidP="00937E98">
            <w:pPr>
              <w:rPr>
                <w:rFonts w:cs="Arial"/>
                <w:b/>
              </w:rPr>
            </w:pPr>
            <w:r w:rsidRPr="006B2C3B">
              <w:rPr>
                <w:rFonts w:cs="Arial"/>
                <w:b/>
                <w:shd w:val="clear" w:color="auto" w:fill="FFFFFF"/>
              </w:rPr>
              <w:t xml:space="preserve">La Fédération suisse du franches-montagnes décide du droit aux contributions et verse celles-ci directement à l’éleveur ou au syndicat d’élevage chevalin auquel celui-ci est affilié. Le syndicat d’élevage chevalin doit transférer les contributions aux éleveurs dans un délai de 30 jours ouvrables. À l’aide d’une liste des juments suitées donnant droit aux contributions, la fédération </w:t>
            </w:r>
            <w:r w:rsidRPr="006B2C3B">
              <w:rPr>
                <w:rFonts w:cs="Arial"/>
                <w:b/>
                <w:shd w:val="clear" w:color="auto" w:fill="FFFFFF"/>
              </w:rPr>
              <w:lastRenderedPageBreak/>
              <w:t xml:space="preserve">facture les montants à l’OFAG. La fédération d’élevage associe les cantons ou les organisations désignées par les cantons au contrôle de la conformité des conditions de garde à la protection des </w:t>
            </w:r>
            <w:proofErr w:type="gramStart"/>
            <w:r w:rsidRPr="006B2C3B">
              <w:rPr>
                <w:rFonts w:cs="Arial"/>
                <w:b/>
                <w:shd w:val="clear" w:color="auto" w:fill="FFFFFF"/>
              </w:rPr>
              <w:t>animaux;</w:t>
            </w:r>
            <w:proofErr w:type="gramEnd"/>
            <w:r w:rsidRPr="006B2C3B">
              <w:rPr>
                <w:rFonts w:cs="Arial"/>
                <w:b/>
                <w:shd w:val="clear" w:color="auto" w:fill="FFFFFF"/>
              </w:rPr>
              <w:t xml:space="preserve"> le contrôle est effectué conformément à l’ordonnance du 31 octobre 2018 sur la coordination des contrôles dans les exploitations agricoles.</w:t>
            </w:r>
          </w:p>
        </w:tc>
        <w:tc>
          <w:tcPr>
            <w:tcW w:w="5620" w:type="dxa"/>
          </w:tcPr>
          <w:p w14:paraId="5CB50D3E" w14:textId="77777777" w:rsidR="00937E98" w:rsidRPr="00BE50FD" w:rsidRDefault="006B2C3B" w:rsidP="00937E98">
            <w:r>
              <w:lastRenderedPageBreak/>
              <w:t>Même remarque</w:t>
            </w:r>
          </w:p>
        </w:tc>
        <w:tc>
          <w:tcPr>
            <w:tcW w:w="532" w:type="dxa"/>
            <w:tcBorders>
              <w:top w:val="nil"/>
              <w:bottom w:val="nil"/>
              <w:right w:val="nil"/>
            </w:tcBorders>
            <w:shd w:val="clear" w:color="auto" w:fill="auto"/>
          </w:tcPr>
          <w:p w14:paraId="28C9DB7E" w14:textId="77777777" w:rsidR="00937E98" w:rsidRPr="00BE50FD" w:rsidRDefault="00937E98" w:rsidP="00937E98">
            <w:pPr>
              <w:rPr>
                <w:b/>
              </w:rPr>
            </w:pPr>
          </w:p>
        </w:tc>
      </w:tr>
      <w:tr w:rsidR="006B2C3B" w:rsidRPr="00BE50FD" w14:paraId="43AF7277" w14:textId="77777777" w:rsidTr="003510EA">
        <w:tc>
          <w:tcPr>
            <w:tcW w:w="2943" w:type="dxa"/>
          </w:tcPr>
          <w:p w14:paraId="1943ACA1" w14:textId="77777777" w:rsidR="006B2C3B" w:rsidRDefault="006B2C3B" w:rsidP="006B2C3B">
            <w:r>
              <w:t>Art. 24, al. 6</w:t>
            </w:r>
          </w:p>
        </w:tc>
        <w:tc>
          <w:tcPr>
            <w:tcW w:w="5529" w:type="dxa"/>
          </w:tcPr>
          <w:p w14:paraId="54426159" w14:textId="77777777" w:rsidR="006B2C3B" w:rsidRPr="006B2C3B" w:rsidRDefault="006B2C3B" w:rsidP="00937E98">
            <w:pPr>
              <w:rPr>
                <w:rFonts w:cs="Arial"/>
                <w:b/>
              </w:rPr>
            </w:pPr>
            <w:r w:rsidRPr="006B2C3B">
              <w:rPr>
                <w:rFonts w:cs="Arial"/>
                <w:b/>
                <w:shd w:val="clear" w:color="auto" w:fill="FFFFFF"/>
              </w:rPr>
              <w:t>La Fédération suisse du franches-montagnes communique à l’OFAG, au plus tard le 31 octobre précédant l’année de contribution, le nombre estimé de juments donnant droit à des contributions.</w:t>
            </w:r>
          </w:p>
        </w:tc>
        <w:tc>
          <w:tcPr>
            <w:tcW w:w="5620" w:type="dxa"/>
          </w:tcPr>
          <w:p w14:paraId="119D6A67" w14:textId="77777777" w:rsidR="006B2C3B" w:rsidRPr="00BE50FD" w:rsidRDefault="006B2C3B" w:rsidP="00937E98">
            <w:r>
              <w:t>Même remarque</w:t>
            </w:r>
          </w:p>
        </w:tc>
        <w:tc>
          <w:tcPr>
            <w:tcW w:w="532" w:type="dxa"/>
            <w:tcBorders>
              <w:top w:val="nil"/>
              <w:bottom w:val="nil"/>
              <w:right w:val="nil"/>
            </w:tcBorders>
            <w:shd w:val="clear" w:color="auto" w:fill="auto"/>
          </w:tcPr>
          <w:p w14:paraId="5F07A771" w14:textId="77777777" w:rsidR="006B2C3B" w:rsidRPr="00BE50FD" w:rsidRDefault="006B2C3B" w:rsidP="00937E98">
            <w:pPr>
              <w:rPr>
                <w:b/>
              </w:rPr>
            </w:pPr>
          </w:p>
        </w:tc>
      </w:tr>
      <w:tr w:rsidR="006B2C3B" w:rsidRPr="00BE50FD" w14:paraId="2946B7DD" w14:textId="77777777" w:rsidTr="003510EA">
        <w:tc>
          <w:tcPr>
            <w:tcW w:w="2943" w:type="dxa"/>
          </w:tcPr>
          <w:p w14:paraId="3CC725F5" w14:textId="77777777" w:rsidR="006B2C3B" w:rsidRDefault="006B2C3B" w:rsidP="006B2C3B">
            <w:r>
              <w:t>Art. 24, al. 7</w:t>
            </w:r>
          </w:p>
        </w:tc>
        <w:tc>
          <w:tcPr>
            <w:tcW w:w="5529" w:type="dxa"/>
          </w:tcPr>
          <w:p w14:paraId="3F0802F8" w14:textId="77777777" w:rsidR="006B2C3B" w:rsidRPr="006B2C3B" w:rsidRDefault="006B2C3B" w:rsidP="00937E98">
            <w:pPr>
              <w:rPr>
                <w:rFonts w:cs="Arial"/>
                <w:b/>
              </w:rPr>
            </w:pPr>
            <w:r w:rsidRPr="006B2C3B">
              <w:rPr>
                <w:rFonts w:cs="Arial"/>
                <w:b/>
                <w:shd w:val="clear" w:color="auto" w:fill="FFFFFF"/>
              </w:rPr>
              <w:t>L’OFAG publie les contributions versées à la Fédération suisse du Franches-montagnes.</w:t>
            </w:r>
          </w:p>
        </w:tc>
        <w:tc>
          <w:tcPr>
            <w:tcW w:w="5620" w:type="dxa"/>
          </w:tcPr>
          <w:p w14:paraId="3166AB34" w14:textId="77777777" w:rsidR="006B2C3B" w:rsidRPr="00BE50FD" w:rsidRDefault="006B2C3B" w:rsidP="00937E98">
            <w:r>
              <w:t>Même remarque</w:t>
            </w:r>
          </w:p>
        </w:tc>
        <w:tc>
          <w:tcPr>
            <w:tcW w:w="532" w:type="dxa"/>
            <w:tcBorders>
              <w:top w:val="nil"/>
              <w:bottom w:val="nil"/>
              <w:right w:val="nil"/>
            </w:tcBorders>
            <w:shd w:val="clear" w:color="auto" w:fill="auto"/>
          </w:tcPr>
          <w:p w14:paraId="4AC2ABD4" w14:textId="77777777" w:rsidR="006B2C3B" w:rsidRPr="00BE50FD" w:rsidRDefault="006B2C3B" w:rsidP="00937E98">
            <w:pPr>
              <w:rPr>
                <w:b/>
              </w:rPr>
            </w:pPr>
          </w:p>
        </w:tc>
      </w:tr>
    </w:tbl>
    <w:p w14:paraId="19085694" w14:textId="77777777" w:rsidR="00522AB9" w:rsidRDefault="00522AB9" w:rsidP="00522AB9">
      <w:pPr>
        <w:pStyle w:val="Titre1"/>
      </w:pPr>
      <w:bookmarkStart w:id="17" w:name="_Toc93667904"/>
      <w:r w:rsidRPr="00BE50FD">
        <w:lastRenderedPageBreak/>
        <w:t xml:space="preserve">BR 14 </w:t>
      </w:r>
      <w:proofErr w:type="spellStart"/>
      <w:r w:rsidRPr="00BE50FD">
        <w:t>Schlachtviehverordnung</w:t>
      </w:r>
      <w:proofErr w:type="spellEnd"/>
      <w:r w:rsidRPr="00BE50FD">
        <w:t xml:space="preserve"> / </w:t>
      </w:r>
      <w:r w:rsidR="008B5D61" w:rsidRPr="00050249">
        <w:t>Ordonnance sur le bétail de boucherie</w:t>
      </w:r>
      <w:r w:rsidRPr="00BE50FD">
        <w:t xml:space="preserve"> / </w:t>
      </w:r>
      <w:proofErr w:type="spellStart"/>
      <w:r w:rsidR="00895FF0" w:rsidRPr="00BE50FD">
        <w:t>Ordinanza</w:t>
      </w:r>
      <w:proofErr w:type="spellEnd"/>
      <w:r w:rsidR="00895FF0" w:rsidRPr="00BE50FD">
        <w:t xml:space="preserve"> </w:t>
      </w:r>
      <w:proofErr w:type="spellStart"/>
      <w:r w:rsidR="00895FF0" w:rsidRPr="00BE50FD">
        <w:t>sul</w:t>
      </w:r>
      <w:proofErr w:type="spellEnd"/>
      <w:r w:rsidR="00895FF0" w:rsidRPr="00BE50FD">
        <w:t xml:space="preserve"> </w:t>
      </w:r>
      <w:proofErr w:type="spellStart"/>
      <w:r w:rsidR="00895FF0" w:rsidRPr="003D7B41">
        <w:t>bestiame</w:t>
      </w:r>
      <w:proofErr w:type="spellEnd"/>
      <w:r w:rsidR="00895FF0" w:rsidRPr="003D7B41">
        <w:t xml:space="preserve"> da </w:t>
      </w:r>
      <w:proofErr w:type="spellStart"/>
      <w:r w:rsidR="00895FF0" w:rsidRPr="003D7B41">
        <w:t>macello</w:t>
      </w:r>
      <w:proofErr w:type="spellEnd"/>
      <w:r>
        <w:t xml:space="preserve"> (</w:t>
      </w:r>
      <w:r w:rsidR="00895FF0">
        <w:t>916.341</w:t>
      </w:r>
      <w:r>
        <w:t>)</w:t>
      </w:r>
      <w:bookmarkEnd w:id="17"/>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68151DF8" w14:textId="77777777" w:rsidTr="003510EA">
        <w:trPr>
          <w:tblHeader/>
        </w:trPr>
        <w:tc>
          <w:tcPr>
            <w:tcW w:w="14092" w:type="dxa"/>
            <w:tcBorders>
              <w:top w:val="single" w:sz="4" w:space="0" w:color="auto"/>
              <w:left w:val="single" w:sz="4" w:space="0" w:color="auto"/>
              <w:bottom w:val="nil"/>
              <w:right w:val="single" w:sz="4" w:space="0" w:color="auto"/>
            </w:tcBorders>
          </w:tcPr>
          <w:p w14:paraId="6FEE3591"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2089F8A9" w14:textId="77777777" w:rsidR="00522AB9" w:rsidRDefault="00522AB9" w:rsidP="003510EA">
            <w:pPr>
              <w:pStyle w:val="Betreff"/>
              <w:widowControl/>
              <w:spacing w:before="0" w:after="0" w:line="240" w:lineRule="auto"/>
            </w:pPr>
          </w:p>
        </w:tc>
      </w:tr>
      <w:tr w:rsidR="00522AB9" w14:paraId="1CEE4B86"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0D2BA43D" w14:textId="77777777" w:rsidR="00522AB9" w:rsidRDefault="006B2C3B" w:rsidP="003510EA">
            <w:r>
              <w:t>Pas de remarque particulière</w:t>
            </w:r>
          </w:p>
        </w:tc>
        <w:tc>
          <w:tcPr>
            <w:tcW w:w="532" w:type="dxa"/>
            <w:tcBorders>
              <w:top w:val="nil"/>
              <w:left w:val="single" w:sz="4" w:space="0" w:color="auto"/>
              <w:bottom w:val="nil"/>
              <w:right w:val="nil"/>
            </w:tcBorders>
            <w:shd w:val="clear" w:color="auto" w:fill="auto"/>
          </w:tcPr>
          <w:p w14:paraId="5E487646" w14:textId="77777777" w:rsidR="00522AB9" w:rsidRDefault="00522AB9" w:rsidP="003510EA">
            <w:pPr>
              <w:rPr>
                <w:b/>
              </w:rPr>
            </w:pPr>
          </w:p>
        </w:tc>
      </w:tr>
    </w:tbl>
    <w:p w14:paraId="7CD42353"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732C2406" w14:textId="77777777" w:rsidTr="003510EA">
        <w:trPr>
          <w:tblHeader/>
        </w:trPr>
        <w:tc>
          <w:tcPr>
            <w:tcW w:w="2943" w:type="dxa"/>
          </w:tcPr>
          <w:p w14:paraId="715C2A93"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7DA3A51"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09FC2B71"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2A1B44D3" w14:textId="77777777" w:rsidR="00522AB9" w:rsidRPr="007132B1" w:rsidRDefault="00522AB9" w:rsidP="003510EA">
            <w:pPr>
              <w:widowControl/>
              <w:spacing w:after="0" w:line="240" w:lineRule="auto"/>
              <w:rPr>
                <w:b/>
                <w:lang w:val="de-CH"/>
              </w:rPr>
            </w:pPr>
          </w:p>
        </w:tc>
      </w:tr>
      <w:tr w:rsidR="00522AB9" w:rsidRPr="00971C09" w14:paraId="2600DF52" w14:textId="77777777" w:rsidTr="003510EA">
        <w:tc>
          <w:tcPr>
            <w:tcW w:w="2943" w:type="dxa"/>
          </w:tcPr>
          <w:p w14:paraId="7F6EDE0E"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5B49C43B" w14:textId="77777777" w:rsidR="00522AB9" w:rsidRPr="007132B1" w:rsidRDefault="00522AB9" w:rsidP="003510EA">
            <w:pPr>
              <w:rPr>
                <w:lang w:val="de-CH"/>
              </w:rPr>
            </w:pPr>
          </w:p>
        </w:tc>
        <w:tc>
          <w:tcPr>
            <w:tcW w:w="5620" w:type="dxa"/>
          </w:tcPr>
          <w:p w14:paraId="37FA0318"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0D558CA2" w14:textId="77777777" w:rsidR="00522AB9" w:rsidRPr="007132B1" w:rsidRDefault="00522AB9" w:rsidP="003510EA">
            <w:pPr>
              <w:rPr>
                <w:b/>
                <w:lang w:val="de-CH"/>
              </w:rPr>
            </w:pPr>
          </w:p>
        </w:tc>
      </w:tr>
    </w:tbl>
    <w:p w14:paraId="0A8416AC" w14:textId="77777777" w:rsidR="00522AB9" w:rsidRPr="008B5D61" w:rsidRDefault="00522AB9" w:rsidP="00522AB9">
      <w:pPr>
        <w:pStyle w:val="Titre1"/>
      </w:pPr>
      <w:bookmarkStart w:id="18" w:name="_Toc93667905"/>
      <w:r w:rsidRPr="008B5D61">
        <w:lastRenderedPageBreak/>
        <w:t xml:space="preserve">BR 15 </w:t>
      </w:r>
      <w:proofErr w:type="spellStart"/>
      <w:r w:rsidRPr="008B5D61">
        <w:t>Milchpreisstützungsverordnung</w:t>
      </w:r>
      <w:proofErr w:type="spellEnd"/>
      <w:r w:rsidRPr="008B5D61">
        <w:t xml:space="preserve"> / </w:t>
      </w:r>
      <w:r w:rsidR="008B5D61" w:rsidRPr="00050249">
        <w:t>Ordonnance sur le soutien du prix du lait</w:t>
      </w:r>
      <w:r w:rsidRPr="008B5D61">
        <w:t xml:space="preserve"> / </w:t>
      </w:r>
      <w:proofErr w:type="spellStart"/>
      <w:r w:rsidR="00895FF0" w:rsidRPr="006157A9">
        <w:t>Ordinanza</w:t>
      </w:r>
      <w:proofErr w:type="spellEnd"/>
      <w:r w:rsidR="00895FF0" w:rsidRPr="006157A9">
        <w:t xml:space="preserve"> </w:t>
      </w:r>
      <w:proofErr w:type="spellStart"/>
      <w:r w:rsidR="00895FF0" w:rsidRPr="006157A9">
        <w:t>sul</w:t>
      </w:r>
      <w:proofErr w:type="spellEnd"/>
      <w:r w:rsidR="00895FF0" w:rsidRPr="006157A9">
        <w:t xml:space="preserve"> </w:t>
      </w:r>
      <w:proofErr w:type="spellStart"/>
      <w:r w:rsidR="00895FF0" w:rsidRPr="006157A9">
        <w:t>sostegno</w:t>
      </w:r>
      <w:proofErr w:type="spellEnd"/>
      <w:r w:rsidR="00895FF0" w:rsidRPr="006157A9">
        <w:t xml:space="preserve"> </w:t>
      </w:r>
      <w:proofErr w:type="spellStart"/>
      <w:r w:rsidR="00895FF0" w:rsidRPr="006157A9">
        <w:t>del</w:t>
      </w:r>
      <w:proofErr w:type="spellEnd"/>
      <w:r w:rsidR="00895FF0" w:rsidRPr="006157A9">
        <w:t xml:space="preserve"> </w:t>
      </w:r>
      <w:proofErr w:type="spellStart"/>
      <w:r w:rsidR="00895FF0" w:rsidRPr="006157A9">
        <w:t>prezzo</w:t>
      </w:r>
      <w:proofErr w:type="spellEnd"/>
      <w:r w:rsidR="00895FF0" w:rsidRPr="006157A9">
        <w:t xml:space="preserve"> </w:t>
      </w:r>
      <w:proofErr w:type="spellStart"/>
      <w:r w:rsidR="00895FF0" w:rsidRPr="006157A9">
        <w:t>del</w:t>
      </w:r>
      <w:proofErr w:type="spellEnd"/>
      <w:r w:rsidR="00895FF0" w:rsidRPr="006157A9">
        <w:t xml:space="preserve"> latte</w:t>
      </w:r>
      <w:r w:rsidRPr="008B5D61">
        <w:t xml:space="preserve"> (</w:t>
      </w:r>
      <w:r w:rsidR="00895FF0">
        <w:t>916.350.2</w:t>
      </w:r>
      <w:r w:rsidRPr="008B5D61">
        <w:t>)</w:t>
      </w:r>
      <w:bookmarkEnd w:id="18"/>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6D24098E" w14:textId="77777777" w:rsidTr="003510EA">
        <w:trPr>
          <w:tblHeader/>
        </w:trPr>
        <w:tc>
          <w:tcPr>
            <w:tcW w:w="14092" w:type="dxa"/>
            <w:tcBorders>
              <w:top w:val="single" w:sz="4" w:space="0" w:color="auto"/>
              <w:left w:val="single" w:sz="4" w:space="0" w:color="auto"/>
              <w:bottom w:val="nil"/>
              <w:right w:val="single" w:sz="4" w:space="0" w:color="auto"/>
            </w:tcBorders>
          </w:tcPr>
          <w:p w14:paraId="08667BB6"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5EA4A392" w14:textId="77777777" w:rsidR="00522AB9" w:rsidRDefault="00522AB9" w:rsidP="003510EA">
            <w:pPr>
              <w:pStyle w:val="Betreff"/>
              <w:widowControl/>
              <w:spacing w:before="0" w:after="0" w:line="240" w:lineRule="auto"/>
            </w:pPr>
          </w:p>
        </w:tc>
      </w:tr>
      <w:tr w:rsidR="00522AB9" w:rsidRPr="003F5D0C" w14:paraId="00B4FAC7"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1A8F6D8C" w14:textId="324FAF93" w:rsidR="00B571A3" w:rsidRPr="00B571A3" w:rsidRDefault="00B571A3" w:rsidP="00B571A3">
            <w:r w:rsidRPr="00B571A3">
              <w:t>A plusieurs reprises</w:t>
            </w:r>
            <w:r>
              <w:t xml:space="preserve"> déjà</w:t>
            </w:r>
            <w:r w:rsidRPr="00B571A3">
              <w:t xml:space="preserve">, AGORA a demandé que le supplément pour le lait transformé en fromage soit versé directement au producteur afin d’éviter que certains transformateurs ne détournent une partie de la contribution à leur profit. Pour rappel, ceci correspond à la volonté du législateur et fait également suite à une décision de justice constatant </w:t>
            </w:r>
            <w:r>
              <w:t>des</w:t>
            </w:r>
            <w:r w:rsidRPr="00B571A3">
              <w:t xml:space="preserve"> disfonctionnements du système actuel. Nous </w:t>
            </w:r>
            <w:r w:rsidR="00432C85">
              <w:t>sommes</w:t>
            </w:r>
            <w:r w:rsidRPr="00B571A3">
              <w:t xml:space="preserve"> donc </w:t>
            </w:r>
            <w:proofErr w:type="gramStart"/>
            <w:r w:rsidR="00432C85">
              <w:t>favorable</w:t>
            </w:r>
            <w:proofErr w:type="gramEnd"/>
            <w:r w:rsidR="00432C85">
              <w:t xml:space="preserve"> au principe proposé par le</w:t>
            </w:r>
            <w:r w:rsidRPr="00B571A3">
              <w:t xml:space="preserve"> Conseil fédéral.</w:t>
            </w:r>
          </w:p>
          <w:p w14:paraId="46AD0AC4" w14:textId="77777777" w:rsidR="00522AB9" w:rsidRDefault="00B571A3" w:rsidP="00DB4DBB">
            <w:r w:rsidRPr="00B571A3">
              <w:t xml:space="preserve">Cependant, vu le manque de transparence du marché laitier ainsi que les rapports de force entre les producteurs et les transformateurs, nous pouvons comprendre les craintes exprimées par les fédérations laitières et plusieurs interprofessions que ces modifications des règles du jeu n’aient comme effet collatéral une baisse générale du revenu des producteurs de lait. </w:t>
            </w:r>
            <w:r>
              <w:t>Idéalement,</w:t>
            </w:r>
            <w:r w:rsidRPr="00B571A3">
              <w:t xml:space="preserve"> ces nouvelles pratiques </w:t>
            </w:r>
            <w:r>
              <w:t xml:space="preserve">devraient </w:t>
            </w:r>
            <w:r w:rsidR="00DB4DBB">
              <w:t>donc intervenir</w:t>
            </w:r>
            <w:r>
              <w:t xml:space="preserve"> </w:t>
            </w:r>
            <w:r w:rsidR="00DB4DBB">
              <w:t xml:space="preserve">en </w:t>
            </w:r>
            <w:r>
              <w:t>parallèle</w:t>
            </w:r>
            <w:r w:rsidR="00DB4DBB">
              <w:t xml:space="preserve"> </w:t>
            </w:r>
            <w:r>
              <w:t xml:space="preserve">à une </w:t>
            </w:r>
            <w:r w:rsidRPr="00B571A3">
              <w:t>amélioration de la position des producteurs au sein des mécanismes de marché</w:t>
            </w:r>
            <w:r>
              <w:t xml:space="preserve"> par l’intermédiaire, par exemple, d’un renforcement d</w:t>
            </w:r>
            <w:r w:rsidRPr="00B571A3">
              <w:t>es articles 8, 8</w:t>
            </w:r>
            <w:r w:rsidRPr="00B571A3">
              <w:rPr>
                <w:i/>
              </w:rPr>
              <w:t>a</w:t>
            </w:r>
            <w:r w:rsidRPr="00B571A3">
              <w:t xml:space="preserve"> et 9 de la </w:t>
            </w:r>
            <w:proofErr w:type="spellStart"/>
            <w:r w:rsidRPr="00B571A3">
              <w:t>LAgr</w:t>
            </w:r>
            <w:proofErr w:type="spellEnd"/>
            <w:r w:rsidRPr="00B571A3">
              <w:t>.</w:t>
            </w:r>
          </w:p>
          <w:p w14:paraId="0B6A4923" w14:textId="7F680F36" w:rsidR="003304EA" w:rsidRPr="00B571A3" w:rsidRDefault="003304EA" w:rsidP="003304EA">
            <w:r>
              <w:t xml:space="preserve">Au vu des décisions passées prises sur ces questions par le Conseil fédéral et le Parlement, nous sommes </w:t>
            </w:r>
            <w:r w:rsidR="00432C85">
              <w:t xml:space="preserve">toutefois </w:t>
            </w:r>
            <w:r>
              <w:t xml:space="preserve">conscients que ces modifications des </w:t>
            </w:r>
            <w:proofErr w:type="gramStart"/>
            <w:r>
              <w:t>art</w:t>
            </w:r>
            <w:proofErr w:type="gramEnd"/>
            <w:r>
              <w:t xml:space="preserve">. 8 et suivants </w:t>
            </w:r>
            <w:proofErr w:type="spellStart"/>
            <w:r>
              <w:t>LAgr</w:t>
            </w:r>
            <w:proofErr w:type="spellEnd"/>
            <w:r>
              <w:t xml:space="preserve"> ne sont de loin pas acquis. De ce fait, nous nous rallions à la proposition de compromis établie par PSL et reprise par l’USP de modifier les articles 38 et 39 de la </w:t>
            </w:r>
            <w:proofErr w:type="spellStart"/>
            <w:r>
              <w:t>LAgr</w:t>
            </w:r>
            <w:proofErr w:type="spellEnd"/>
            <w:r>
              <w:t xml:space="preserve"> dans le cadre du traitement futur de la politique agricole.</w:t>
            </w:r>
          </w:p>
        </w:tc>
        <w:tc>
          <w:tcPr>
            <w:tcW w:w="532" w:type="dxa"/>
            <w:tcBorders>
              <w:top w:val="nil"/>
              <w:left w:val="single" w:sz="4" w:space="0" w:color="auto"/>
              <w:bottom w:val="nil"/>
              <w:right w:val="nil"/>
            </w:tcBorders>
            <w:shd w:val="clear" w:color="auto" w:fill="auto"/>
          </w:tcPr>
          <w:p w14:paraId="07847CD0" w14:textId="77777777" w:rsidR="00522AB9" w:rsidRPr="006B2C3B" w:rsidRDefault="00522AB9" w:rsidP="003510EA">
            <w:pPr>
              <w:rPr>
                <w:b/>
              </w:rPr>
            </w:pPr>
          </w:p>
        </w:tc>
      </w:tr>
    </w:tbl>
    <w:p w14:paraId="3A055526" w14:textId="77777777" w:rsidR="00522AB9" w:rsidRPr="006B2C3B"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2E901593" w14:textId="77777777" w:rsidTr="003510EA">
        <w:trPr>
          <w:tblHeader/>
        </w:trPr>
        <w:tc>
          <w:tcPr>
            <w:tcW w:w="2943" w:type="dxa"/>
          </w:tcPr>
          <w:p w14:paraId="79A056C3"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172D78D8" w14:textId="77777777" w:rsidR="00522AB9" w:rsidRPr="006B2C3B" w:rsidRDefault="00522AB9" w:rsidP="003510EA">
            <w:pPr>
              <w:spacing w:after="0"/>
              <w:rPr>
                <w:b/>
              </w:rPr>
            </w:pPr>
            <w:proofErr w:type="spellStart"/>
            <w:r w:rsidRPr="006B2C3B">
              <w:rPr>
                <w:b/>
              </w:rPr>
              <w:t>Antrag</w:t>
            </w:r>
            <w:proofErr w:type="spellEnd"/>
            <w:r w:rsidRPr="006B2C3B">
              <w:rPr>
                <w:b/>
              </w:rPr>
              <w:br/>
              <w:t>Proposition</w:t>
            </w:r>
            <w:r w:rsidRPr="006B2C3B">
              <w:rPr>
                <w:b/>
              </w:rPr>
              <w:br/>
            </w:r>
            <w:proofErr w:type="spellStart"/>
            <w:r w:rsidRPr="006B2C3B">
              <w:rPr>
                <w:b/>
              </w:rPr>
              <w:t>Richiesta</w:t>
            </w:r>
            <w:proofErr w:type="spellEnd"/>
          </w:p>
        </w:tc>
        <w:tc>
          <w:tcPr>
            <w:tcW w:w="5620" w:type="dxa"/>
          </w:tcPr>
          <w:p w14:paraId="4681AFA4"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783BF0C1" w14:textId="77777777" w:rsidR="00522AB9" w:rsidRPr="007132B1" w:rsidRDefault="00522AB9" w:rsidP="003510EA">
            <w:pPr>
              <w:widowControl/>
              <w:spacing w:after="0" w:line="240" w:lineRule="auto"/>
              <w:rPr>
                <w:b/>
                <w:lang w:val="de-CH"/>
              </w:rPr>
            </w:pPr>
          </w:p>
        </w:tc>
      </w:tr>
      <w:tr w:rsidR="00522AB9" w:rsidRPr="006B2C3B" w14:paraId="5D917420" w14:textId="77777777" w:rsidTr="003510EA">
        <w:tc>
          <w:tcPr>
            <w:tcW w:w="2943" w:type="dxa"/>
          </w:tcPr>
          <w:p w14:paraId="68986CCF" w14:textId="77777777" w:rsidR="00522AB9" w:rsidRPr="006157A9" w:rsidRDefault="006B2C3B" w:rsidP="003510EA">
            <w:pPr>
              <w:pStyle w:val="Anhang"/>
              <w:tabs>
                <w:tab w:val="clear" w:pos="1276"/>
              </w:tabs>
              <w:spacing w:before="0" w:after="260"/>
              <w:outlineLvl w:val="9"/>
              <w:rPr>
                <w:lang w:val="de-CH" w:eastAsia="de-CH"/>
              </w:rPr>
            </w:pPr>
            <w:r>
              <w:rPr>
                <w:lang w:val="de-CH" w:eastAsia="de-CH"/>
              </w:rPr>
              <w:t>Art. 1c, al. 1</w:t>
            </w:r>
          </w:p>
        </w:tc>
        <w:tc>
          <w:tcPr>
            <w:tcW w:w="5529" w:type="dxa"/>
          </w:tcPr>
          <w:p w14:paraId="3A933B2F" w14:textId="77777777" w:rsidR="006B2C3B" w:rsidRPr="006B2C3B" w:rsidRDefault="006B2C3B" w:rsidP="003510EA">
            <w:pPr>
              <w:rPr>
                <w:rFonts w:cs="Arial"/>
                <w:strike/>
                <w:shd w:val="clear" w:color="auto" w:fill="FFFFFF"/>
              </w:rPr>
            </w:pPr>
            <w:r>
              <w:rPr>
                <w:rFonts w:cs="Arial"/>
                <w:strike/>
                <w:shd w:val="clear" w:color="auto" w:fill="FFFFFF"/>
              </w:rPr>
              <w:t>Abrogé</w:t>
            </w:r>
          </w:p>
          <w:p w14:paraId="3D5248D3" w14:textId="77777777" w:rsidR="00522AB9" w:rsidRPr="006B2C3B" w:rsidRDefault="006B2C3B" w:rsidP="003510EA">
            <w:pPr>
              <w:rPr>
                <w:rFonts w:cs="Arial"/>
                <w:b/>
              </w:rPr>
            </w:pPr>
            <w:r w:rsidRPr="006B2C3B">
              <w:rPr>
                <w:rFonts w:cs="Arial"/>
                <w:b/>
                <w:shd w:val="clear" w:color="auto" w:fill="FFFFFF"/>
              </w:rPr>
              <w:t>Le</w:t>
            </w:r>
            <w:r w:rsidRPr="006B2C3B">
              <w:rPr>
                <w:rFonts w:cs="Arial"/>
                <w:b/>
                <w:shd w:val="clear" w:color="auto" w:fill="FFFFFF"/>
                <w:vertAlign w:val="superscript"/>
              </w:rPr>
              <w:t> </w:t>
            </w:r>
            <w:r w:rsidRPr="006B2C3B">
              <w:rPr>
                <w:rFonts w:cs="Arial"/>
                <w:b/>
                <w:shd w:val="clear" w:color="auto" w:fill="FFFFFF"/>
              </w:rPr>
              <w:t>supplément pour le lait de vache, de brebis et de chèvre transformé en fromage est de 15 centimes par kilogramme de lait, déduction faite du montant du supplément versé pour le lait commercialisé selon l’art. 2</w:t>
            </w:r>
            <w:r w:rsidRPr="006B2C3B">
              <w:rPr>
                <w:rFonts w:cs="Arial"/>
                <w:b/>
                <w:i/>
                <w:iCs/>
                <w:shd w:val="clear" w:color="auto" w:fill="FFFFFF"/>
              </w:rPr>
              <w:t>a</w:t>
            </w:r>
            <w:r w:rsidRPr="006B2C3B">
              <w:rPr>
                <w:rFonts w:cs="Arial"/>
                <w:b/>
                <w:shd w:val="clear" w:color="auto" w:fill="FFFFFF"/>
              </w:rPr>
              <w:t>.</w:t>
            </w:r>
          </w:p>
        </w:tc>
        <w:tc>
          <w:tcPr>
            <w:tcW w:w="5620" w:type="dxa"/>
          </w:tcPr>
          <w:p w14:paraId="18C09CD3" w14:textId="77777777" w:rsidR="006B2C3B" w:rsidRDefault="006B2C3B" w:rsidP="006B2C3B">
            <w:pPr>
              <w:widowControl/>
              <w:autoSpaceDE w:val="0"/>
              <w:autoSpaceDN w:val="0"/>
              <w:adjustRightInd w:val="0"/>
              <w:spacing w:after="0" w:line="240" w:lineRule="auto"/>
              <w:rPr>
                <w:rFonts w:ascii="Helvetica" w:hAnsi="Helvetica" w:cs="Helvetica"/>
              </w:rPr>
            </w:pPr>
            <w:r>
              <w:rPr>
                <w:rFonts w:ascii="Helvetica" w:hAnsi="Helvetica" w:cs="Helvetica"/>
              </w:rPr>
              <w:t>Le montant du supplément doit continuer à apparaître dans</w:t>
            </w:r>
          </w:p>
          <w:p w14:paraId="304CF9C9" w14:textId="77777777" w:rsidR="00522AB9" w:rsidRPr="006B2C3B" w:rsidRDefault="006B2C3B" w:rsidP="006B2C3B">
            <w:r>
              <w:rPr>
                <w:rFonts w:ascii="Helvetica" w:hAnsi="Helvetica" w:cs="Helvetica"/>
              </w:rPr>
              <w:t>l’ordonnance.</w:t>
            </w:r>
          </w:p>
        </w:tc>
        <w:tc>
          <w:tcPr>
            <w:tcW w:w="532" w:type="dxa"/>
            <w:tcBorders>
              <w:top w:val="nil"/>
              <w:bottom w:val="nil"/>
              <w:right w:val="nil"/>
            </w:tcBorders>
            <w:shd w:val="clear" w:color="auto" w:fill="auto"/>
          </w:tcPr>
          <w:p w14:paraId="1417512A" w14:textId="77777777" w:rsidR="00522AB9" w:rsidRPr="006B2C3B" w:rsidRDefault="00522AB9" w:rsidP="003510EA">
            <w:pPr>
              <w:rPr>
                <w:b/>
              </w:rPr>
            </w:pPr>
          </w:p>
        </w:tc>
      </w:tr>
      <w:tr w:rsidR="00522AB9" w:rsidRPr="006B2C3B" w14:paraId="184F5EE8" w14:textId="77777777" w:rsidTr="003510EA">
        <w:tc>
          <w:tcPr>
            <w:tcW w:w="2943" w:type="dxa"/>
          </w:tcPr>
          <w:p w14:paraId="3020CE7C" w14:textId="77777777" w:rsidR="00522AB9" w:rsidRPr="006B2C3B" w:rsidRDefault="001520A1" w:rsidP="003510EA">
            <w:r>
              <w:t>Art. 2, al. 1</w:t>
            </w:r>
          </w:p>
        </w:tc>
        <w:tc>
          <w:tcPr>
            <w:tcW w:w="5529" w:type="dxa"/>
          </w:tcPr>
          <w:p w14:paraId="759E433C" w14:textId="77777777" w:rsidR="00522AB9" w:rsidRPr="001520A1" w:rsidRDefault="001520A1" w:rsidP="001520A1">
            <w:r w:rsidRPr="001520A1">
              <w:t xml:space="preserve">Le supplément de non-ensilage </w:t>
            </w:r>
            <w:r w:rsidRPr="006B2C3B">
              <w:rPr>
                <w:rFonts w:cs="Arial"/>
                <w:b/>
                <w:shd w:val="clear" w:color="auto" w:fill="FFFFFF"/>
              </w:rPr>
              <w:t xml:space="preserve">de </w:t>
            </w:r>
            <w:r>
              <w:rPr>
                <w:rFonts w:cs="Arial"/>
                <w:b/>
                <w:shd w:val="clear" w:color="auto" w:fill="FFFFFF"/>
              </w:rPr>
              <w:t>3</w:t>
            </w:r>
            <w:r w:rsidRPr="006B2C3B">
              <w:rPr>
                <w:rFonts w:cs="Arial"/>
                <w:b/>
                <w:shd w:val="clear" w:color="auto" w:fill="FFFFFF"/>
              </w:rPr>
              <w:t> centimes par kilogramme de lait</w:t>
            </w:r>
            <w:r w:rsidRPr="001520A1">
              <w:t xml:space="preserve"> est versé pour le lait de vaches, de brebis et de chèvres lorsque ce </w:t>
            </w:r>
            <w:proofErr w:type="gramStart"/>
            <w:r w:rsidRPr="001520A1">
              <w:t>lait:</w:t>
            </w:r>
            <w:proofErr w:type="gramEnd"/>
          </w:p>
        </w:tc>
        <w:tc>
          <w:tcPr>
            <w:tcW w:w="5620" w:type="dxa"/>
          </w:tcPr>
          <w:p w14:paraId="53864CFB" w14:textId="77777777" w:rsidR="001520A1" w:rsidRDefault="001520A1" w:rsidP="001520A1">
            <w:pPr>
              <w:widowControl/>
              <w:autoSpaceDE w:val="0"/>
              <w:autoSpaceDN w:val="0"/>
              <w:adjustRightInd w:val="0"/>
              <w:spacing w:after="0" w:line="240" w:lineRule="auto"/>
              <w:rPr>
                <w:rFonts w:ascii="Helvetica" w:hAnsi="Helvetica" w:cs="Helvetica"/>
              </w:rPr>
            </w:pPr>
            <w:r>
              <w:rPr>
                <w:rFonts w:ascii="Helvetica" w:hAnsi="Helvetica" w:cs="Helvetica"/>
              </w:rPr>
              <w:t>Le montant du supplément doit continuer à apparaître dans</w:t>
            </w:r>
          </w:p>
          <w:p w14:paraId="62442082" w14:textId="77777777" w:rsidR="00522AB9" w:rsidRPr="006B2C3B" w:rsidRDefault="001520A1" w:rsidP="001520A1">
            <w:r>
              <w:rPr>
                <w:rFonts w:ascii="Helvetica" w:hAnsi="Helvetica" w:cs="Helvetica"/>
              </w:rPr>
              <w:t>l’ordonnance.</w:t>
            </w:r>
          </w:p>
        </w:tc>
        <w:tc>
          <w:tcPr>
            <w:tcW w:w="532" w:type="dxa"/>
            <w:tcBorders>
              <w:top w:val="nil"/>
              <w:bottom w:val="nil"/>
              <w:right w:val="nil"/>
            </w:tcBorders>
            <w:shd w:val="clear" w:color="auto" w:fill="auto"/>
          </w:tcPr>
          <w:p w14:paraId="6AA00792" w14:textId="77777777" w:rsidR="00522AB9" w:rsidRPr="006B2C3B" w:rsidRDefault="00522AB9" w:rsidP="003510EA">
            <w:pPr>
              <w:rPr>
                <w:b/>
              </w:rPr>
            </w:pPr>
          </w:p>
        </w:tc>
      </w:tr>
    </w:tbl>
    <w:p w14:paraId="37F8AF37" w14:textId="77777777" w:rsidR="00522AB9" w:rsidRPr="006157A9" w:rsidRDefault="00522AB9" w:rsidP="00522AB9">
      <w:pPr>
        <w:pStyle w:val="Titre1"/>
      </w:pPr>
      <w:bookmarkStart w:id="19" w:name="_Toc93667906"/>
      <w:r w:rsidRPr="001520A1">
        <w:lastRenderedPageBreak/>
        <w:t xml:space="preserve">BR 16 </w:t>
      </w:r>
      <w:proofErr w:type="spellStart"/>
      <w:r w:rsidRPr="001520A1">
        <w:t>Verordnung</w:t>
      </w:r>
      <w:proofErr w:type="spellEnd"/>
      <w:r w:rsidRPr="001520A1">
        <w:t xml:space="preserve"> </w:t>
      </w:r>
      <w:proofErr w:type="spellStart"/>
      <w:r w:rsidRPr="001520A1">
        <w:t>über</w:t>
      </w:r>
      <w:proofErr w:type="spellEnd"/>
      <w:r w:rsidRPr="001520A1">
        <w:t xml:space="preserve"> die </w:t>
      </w:r>
      <w:proofErr w:type="spellStart"/>
      <w:r w:rsidRPr="001520A1">
        <w:t>Identitas</w:t>
      </w:r>
      <w:proofErr w:type="spellEnd"/>
      <w:r w:rsidRPr="001520A1">
        <w:t xml:space="preserve"> AG </w:t>
      </w:r>
      <w:proofErr w:type="spellStart"/>
      <w:r w:rsidRPr="001520A1">
        <w:t>und</w:t>
      </w:r>
      <w:proofErr w:type="spellEnd"/>
      <w:r w:rsidRPr="001520A1">
        <w:t xml:space="preserve"> die </w:t>
      </w:r>
      <w:proofErr w:type="spellStart"/>
      <w:r w:rsidRPr="001520A1">
        <w:t>Tierverkehrsdatenbank</w:t>
      </w:r>
      <w:proofErr w:type="spellEnd"/>
      <w:r w:rsidRPr="001520A1">
        <w:t xml:space="preserve"> </w:t>
      </w:r>
      <w:r w:rsidRPr="006157A9">
        <w:t xml:space="preserve">/ </w:t>
      </w:r>
      <w:r w:rsidR="008B5D61" w:rsidRPr="006157A9">
        <w:t xml:space="preserve">Ordonnance relative à </w:t>
      </w:r>
      <w:proofErr w:type="spellStart"/>
      <w:r w:rsidR="008B5D61" w:rsidRPr="006157A9">
        <w:t>Identitas</w:t>
      </w:r>
      <w:proofErr w:type="spellEnd"/>
      <w:r w:rsidR="008B5D61" w:rsidRPr="006157A9">
        <w:t xml:space="preserve"> SA et à la banque de données sur le trafic des animaux</w:t>
      </w:r>
      <w:r w:rsidRPr="006157A9">
        <w:t xml:space="preserve"> / </w:t>
      </w:r>
      <w:proofErr w:type="spellStart"/>
      <w:r w:rsidR="00895FF0" w:rsidRPr="006157A9">
        <w:t>Ordinanza</w:t>
      </w:r>
      <w:proofErr w:type="spellEnd"/>
      <w:r w:rsidR="00895FF0" w:rsidRPr="006157A9">
        <w:t xml:space="preserve"> </w:t>
      </w:r>
      <w:proofErr w:type="spellStart"/>
      <w:r w:rsidR="00895FF0" w:rsidRPr="006157A9">
        <w:t>concernente</w:t>
      </w:r>
      <w:proofErr w:type="spellEnd"/>
      <w:r w:rsidR="00895FF0" w:rsidRPr="006157A9">
        <w:t xml:space="preserve"> </w:t>
      </w:r>
      <w:proofErr w:type="spellStart"/>
      <w:r w:rsidR="00895FF0" w:rsidRPr="006157A9">
        <w:t>Identitas</w:t>
      </w:r>
      <w:proofErr w:type="spellEnd"/>
      <w:r w:rsidR="00895FF0" w:rsidRPr="006157A9">
        <w:t xml:space="preserve"> AG e la </w:t>
      </w:r>
      <w:proofErr w:type="spellStart"/>
      <w:r w:rsidR="00895FF0" w:rsidRPr="006157A9">
        <w:t>banca</w:t>
      </w:r>
      <w:proofErr w:type="spellEnd"/>
      <w:r w:rsidR="00895FF0" w:rsidRPr="006157A9">
        <w:t xml:space="preserve"> </w:t>
      </w:r>
      <w:proofErr w:type="spellStart"/>
      <w:r w:rsidR="00895FF0" w:rsidRPr="006157A9">
        <w:t>dati</w:t>
      </w:r>
      <w:proofErr w:type="spellEnd"/>
      <w:r w:rsidR="00895FF0" w:rsidRPr="006157A9">
        <w:t xml:space="preserve"> </w:t>
      </w:r>
      <w:proofErr w:type="spellStart"/>
      <w:r w:rsidR="00895FF0" w:rsidRPr="006157A9">
        <w:t>sul</w:t>
      </w:r>
      <w:proofErr w:type="spellEnd"/>
      <w:r w:rsidR="00895FF0" w:rsidRPr="006157A9">
        <w:t xml:space="preserve"> </w:t>
      </w:r>
      <w:proofErr w:type="spellStart"/>
      <w:r w:rsidR="00895FF0" w:rsidRPr="006157A9">
        <w:t>traffico</w:t>
      </w:r>
      <w:proofErr w:type="spellEnd"/>
      <w:r w:rsidR="00895FF0" w:rsidRPr="006157A9">
        <w:t xml:space="preserve"> di </w:t>
      </w:r>
      <w:proofErr w:type="spellStart"/>
      <w:r w:rsidR="00895FF0" w:rsidRPr="006157A9">
        <w:t>animali</w:t>
      </w:r>
      <w:proofErr w:type="spellEnd"/>
      <w:r w:rsidRPr="006157A9">
        <w:t xml:space="preserve"> (</w:t>
      </w:r>
      <w:r w:rsidR="00895FF0" w:rsidRPr="006157A9">
        <w:t>916.404.1</w:t>
      </w:r>
      <w:r w:rsidRPr="006157A9">
        <w:t>)</w:t>
      </w:r>
      <w:bookmarkEnd w:id="19"/>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48A2DFA2" w14:textId="77777777" w:rsidTr="003510EA">
        <w:trPr>
          <w:tblHeader/>
        </w:trPr>
        <w:tc>
          <w:tcPr>
            <w:tcW w:w="14092" w:type="dxa"/>
            <w:tcBorders>
              <w:top w:val="single" w:sz="4" w:space="0" w:color="auto"/>
              <w:left w:val="single" w:sz="4" w:space="0" w:color="auto"/>
              <w:bottom w:val="nil"/>
              <w:right w:val="single" w:sz="4" w:space="0" w:color="auto"/>
            </w:tcBorders>
          </w:tcPr>
          <w:p w14:paraId="5A66AF04"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305504B8" w14:textId="77777777" w:rsidR="00522AB9" w:rsidRDefault="00522AB9" w:rsidP="003510EA">
            <w:pPr>
              <w:pStyle w:val="Betreff"/>
              <w:widowControl/>
              <w:spacing w:before="0" w:after="0" w:line="240" w:lineRule="auto"/>
            </w:pPr>
          </w:p>
        </w:tc>
      </w:tr>
      <w:tr w:rsidR="00522AB9" w:rsidRPr="003F5D0C" w14:paraId="36F4F42E"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2B6A2D0F" w14:textId="77777777" w:rsidR="00522AB9" w:rsidRPr="001520A1" w:rsidRDefault="001520A1" w:rsidP="003510EA">
            <w:r w:rsidRPr="001520A1">
              <w:t>Nous refusons l’ampleur de l’augmentation des émoluments d’</w:t>
            </w:r>
            <w:proofErr w:type="spellStart"/>
            <w:r w:rsidRPr="001520A1">
              <w:t>Identitas</w:t>
            </w:r>
            <w:proofErr w:type="spellEnd"/>
            <w:r w:rsidRPr="001520A1">
              <w:t>.</w:t>
            </w:r>
          </w:p>
        </w:tc>
        <w:tc>
          <w:tcPr>
            <w:tcW w:w="532" w:type="dxa"/>
            <w:tcBorders>
              <w:top w:val="nil"/>
              <w:left w:val="single" w:sz="4" w:space="0" w:color="auto"/>
              <w:bottom w:val="nil"/>
              <w:right w:val="nil"/>
            </w:tcBorders>
            <w:shd w:val="clear" w:color="auto" w:fill="auto"/>
          </w:tcPr>
          <w:p w14:paraId="234F5ECF" w14:textId="77777777" w:rsidR="00522AB9" w:rsidRPr="001520A1" w:rsidRDefault="00522AB9" w:rsidP="003510EA">
            <w:pPr>
              <w:rPr>
                <w:b/>
              </w:rPr>
            </w:pPr>
          </w:p>
        </w:tc>
      </w:tr>
    </w:tbl>
    <w:p w14:paraId="6E485F67" w14:textId="77777777" w:rsidR="00522AB9" w:rsidRPr="001520A1"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06CDC379" w14:textId="77777777" w:rsidTr="003510EA">
        <w:trPr>
          <w:tblHeader/>
        </w:trPr>
        <w:tc>
          <w:tcPr>
            <w:tcW w:w="2943" w:type="dxa"/>
          </w:tcPr>
          <w:p w14:paraId="6980D253"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0E11A72D"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564727D6"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02D02951" w14:textId="77777777" w:rsidR="00522AB9" w:rsidRPr="007132B1" w:rsidRDefault="00522AB9" w:rsidP="003510EA">
            <w:pPr>
              <w:widowControl/>
              <w:spacing w:after="0" w:line="240" w:lineRule="auto"/>
              <w:rPr>
                <w:b/>
                <w:lang w:val="de-CH"/>
              </w:rPr>
            </w:pPr>
          </w:p>
        </w:tc>
      </w:tr>
      <w:tr w:rsidR="00522AB9" w:rsidRPr="003F5D0C" w14:paraId="600FD4CE" w14:textId="77777777" w:rsidTr="003510EA">
        <w:tc>
          <w:tcPr>
            <w:tcW w:w="2943" w:type="dxa"/>
          </w:tcPr>
          <w:p w14:paraId="1ED0B188" w14:textId="035B777B" w:rsidR="00522AB9" w:rsidRPr="0064509D" w:rsidRDefault="000306DC" w:rsidP="003510EA">
            <w:pPr>
              <w:pStyle w:val="Anhang"/>
              <w:tabs>
                <w:tab w:val="clear" w:pos="1276"/>
              </w:tabs>
              <w:spacing w:before="0" w:after="260"/>
              <w:outlineLvl w:val="9"/>
              <w:rPr>
                <w:lang w:val="fr-CH" w:eastAsia="de-CH"/>
              </w:rPr>
            </w:pPr>
            <w:r w:rsidRPr="0064509D">
              <w:rPr>
                <w:b/>
                <w:lang w:val="fr-CH" w:eastAsia="de-CH"/>
              </w:rPr>
              <w:t>Art. 36, al. 2, let. d</w:t>
            </w:r>
            <w:r w:rsidRPr="0064509D">
              <w:rPr>
                <w:lang w:val="fr-CH" w:eastAsia="de-CH"/>
              </w:rPr>
              <w:t xml:space="preserve"> (nouveau)</w:t>
            </w:r>
          </w:p>
        </w:tc>
        <w:tc>
          <w:tcPr>
            <w:tcW w:w="5529" w:type="dxa"/>
          </w:tcPr>
          <w:p w14:paraId="47377E32" w14:textId="6FB111E4" w:rsidR="00522AB9" w:rsidRPr="000306DC" w:rsidRDefault="000306DC" w:rsidP="001520A1">
            <w:pPr>
              <w:rPr>
                <w:b/>
              </w:rPr>
            </w:pPr>
            <w:r>
              <w:rPr>
                <w:b/>
              </w:rPr>
              <w:t>résultat du poids mort</w:t>
            </w:r>
          </w:p>
        </w:tc>
        <w:tc>
          <w:tcPr>
            <w:tcW w:w="5620" w:type="dxa"/>
          </w:tcPr>
          <w:p w14:paraId="36F11FEA" w14:textId="075F09BE" w:rsidR="00522AB9" w:rsidRPr="001520A1" w:rsidRDefault="000306DC" w:rsidP="003510EA">
            <w:r>
              <w:t>L’agriculteur doit avoir droit à plus de transparence afin d’éviter certaines injustices.</w:t>
            </w:r>
          </w:p>
        </w:tc>
        <w:tc>
          <w:tcPr>
            <w:tcW w:w="532" w:type="dxa"/>
            <w:tcBorders>
              <w:top w:val="nil"/>
              <w:bottom w:val="nil"/>
              <w:right w:val="nil"/>
            </w:tcBorders>
            <w:shd w:val="clear" w:color="auto" w:fill="auto"/>
          </w:tcPr>
          <w:p w14:paraId="5B622AC6" w14:textId="77777777" w:rsidR="00522AB9" w:rsidRPr="001520A1" w:rsidRDefault="00522AB9" w:rsidP="003510EA">
            <w:pPr>
              <w:rPr>
                <w:b/>
              </w:rPr>
            </w:pPr>
          </w:p>
        </w:tc>
      </w:tr>
      <w:tr w:rsidR="000306DC" w:rsidRPr="003F5D0C" w14:paraId="7743233C" w14:textId="77777777" w:rsidTr="003510EA">
        <w:tc>
          <w:tcPr>
            <w:tcW w:w="2943" w:type="dxa"/>
          </w:tcPr>
          <w:p w14:paraId="744E4EC4" w14:textId="30AE3EFD" w:rsidR="000306DC" w:rsidRDefault="000306DC" w:rsidP="000306DC">
            <w:pPr>
              <w:pStyle w:val="Anhang"/>
              <w:tabs>
                <w:tab w:val="clear" w:pos="1276"/>
              </w:tabs>
              <w:spacing w:before="0" w:after="260"/>
              <w:outlineLvl w:val="9"/>
              <w:rPr>
                <w:lang w:val="de-CH" w:eastAsia="de-CH"/>
              </w:rPr>
            </w:pPr>
            <w:r>
              <w:rPr>
                <w:lang w:val="de-CH" w:eastAsia="de-CH"/>
              </w:rPr>
              <w:t>Annexe 2</w:t>
            </w:r>
          </w:p>
        </w:tc>
        <w:tc>
          <w:tcPr>
            <w:tcW w:w="5529" w:type="dxa"/>
          </w:tcPr>
          <w:p w14:paraId="7B30AE49" w14:textId="27B34E2C" w:rsidR="000306DC" w:rsidRPr="001520A1" w:rsidRDefault="000306DC" w:rsidP="000306DC">
            <w:r w:rsidRPr="001520A1">
              <w:t>L’augmentation des tarifs ne doit pas faire que c</w:t>
            </w:r>
            <w:r>
              <w:t>eux-ci se situent à un niveau supérieur aux émoluments connus avant la dernière réduction intervenue en 2018.</w:t>
            </w:r>
          </w:p>
        </w:tc>
        <w:tc>
          <w:tcPr>
            <w:tcW w:w="5620" w:type="dxa"/>
          </w:tcPr>
          <w:p w14:paraId="159B14BE" w14:textId="24CAB4CB" w:rsidR="000306DC" w:rsidRDefault="000306DC" w:rsidP="000306DC">
            <w:r>
              <w:t>Une hausse de 50 % telle que proposée est disproportionnée.</w:t>
            </w:r>
          </w:p>
        </w:tc>
        <w:tc>
          <w:tcPr>
            <w:tcW w:w="532" w:type="dxa"/>
            <w:tcBorders>
              <w:top w:val="nil"/>
              <w:bottom w:val="nil"/>
              <w:right w:val="nil"/>
            </w:tcBorders>
            <w:shd w:val="clear" w:color="auto" w:fill="auto"/>
          </w:tcPr>
          <w:p w14:paraId="797777FD" w14:textId="77777777" w:rsidR="000306DC" w:rsidRPr="001520A1" w:rsidRDefault="000306DC" w:rsidP="000306DC">
            <w:pPr>
              <w:rPr>
                <w:b/>
              </w:rPr>
            </w:pPr>
          </w:p>
        </w:tc>
      </w:tr>
    </w:tbl>
    <w:p w14:paraId="5A63CBBC" w14:textId="77777777" w:rsidR="00522AB9" w:rsidRPr="00895FF0" w:rsidRDefault="00522AB9" w:rsidP="00522AB9">
      <w:pPr>
        <w:pStyle w:val="Titre1"/>
      </w:pPr>
      <w:bookmarkStart w:id="20" w:name="_Toc93667907"/>
      <w:r w:rsidRPr="00895FF0">
        <w:lastRenderedPageBreak/>
        <w:t xml:space="preserve">BR 17 </w:t>
      </w:r>
      <w:proofErr w:type="spellStart"/>
      <w:r w:rsidRPr="00895FF0">
        <w:t>Nationalstrassenverordnung</w:t>
      </w:r>
      <w:proofErr w:type="spellEnd"/>
      <w:r w:rsidRPr="00895FF0">
        <w:t xml:space="preserve"> / </w:t>
      </w:r>
      <w:r w:rsidR="008B5D61" w:rsidRPr="00050249">
        <w:t>Ordonnance sur les routes nationales</w:t>
      </w:r>
      <w:r w:rsidRPr="00895FF0">
        <w:t xml:space="preserve"> / </w:t>
      </w:r>
      <w:proofErr w:type="spellStart"/>
      <w:r w:rsidR="00895FF0" w:rsidRPr="00895FF0">
        <w:t>Ordinanza</w:t>
      </w:r>
      <w:proofErr w:type="spellEnd"/>
      <w:r w:rsidR="00895FF0" w:rsidRPr="00895FF0">
        <w:t xml:space="preserve"> </w:t>
      </w:r>
      <w:proofErr w:type="spellStart"/>
      <w:r w:rsidR="00895FF0" w:rsidRPr="00895FF0">
        <w:t>sulle</w:t>
      </w:r>
      <w:proofErr w:type="spellEnd"/>
      <w:r w:rsidR="00895FF0" w:rsidRPr="00895FF0">
        <w:t xml:space="preserve"> </w:t>
      </w:r>
      <w:proofErr w:type="spellStart"/>
      <w:r w:rsidR="00895FF0" w:rsidRPr="00895FF0">
        <w:t>strade</w:t>
      </w:r>
      <w:proofErr w:type="spellEnd"/>
      <w:r w:rsidR="00895FF0" w:rsidRPr="00895FF0">
        <w:t xml:space="preserve"> </w:t>
      </w:r>
      <w:proofErr w:type="spellStart"/>
      <w:r w:rsidR="00895FF0" w:rsidRPr="00895FF0">
        <w:t>nazionali</w:t>
      </w:r>
      <w:proofErr w:type="spellEnd"/>
      <w:r w:rsidRPr="00895FF0">
        <w:t xml:space="preserve"> (</w:t>
      </w:r>
      <w:r w:rsidR="00895FF0">
        <w:t>725.111</w:t>
      </w:r>
      <w:r w:rsidRPr="00895FF0">
        <w:t>)</w:t>
      </w:r>
      <w:bookmarkEnd w:id="20"/>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3B090BBC" w14:textId="77777777" w:rsidTr="003510EA">
        <w:trPr>
          <w:tblHeader/>
        </w:trPr>
        <w:tc>
          <w:tcPr>
            <w:tcW w:w="14092" w:type="dxa"/>
            <w:tcBorders>
              <w:top w:val="single" w:sz="4" w:space="0" w:color="auto"/>
              <w:left w:val="single" w:sz="4" w:space="0" w:color="auto"/>
              <w:bottom w:val="nil"/>
              <w:right w:val="single" w:sz="4" w:space="0" w:color="auto"/>
            </w:tcBorders>
          </w:tcPr>
          <w:p w14:paraId="418BD086"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2BCB8DBB" w14:textId="77777777" w:rsidR="00522AB9" w:rsidRDefault="00522AB9" w:rsidP="003510EA">
            <w:pPr>
              <w:pStyle w:val="Betreff"/>
              <w:widowControl/>
              <w:spacing w:before="0" w:after="0" w:line="240" w:lineRule="auto"/>
            </w:pPr>
          </w:p>
        </w:tc>
      </w:tr>
      <w:tr w:rsidR="00522AB9" w14:paraId="0E08E430"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65140C1A" w14:textId="77777777" w:rsidR="00522AB9" w:rsidRDefault="001520A1" w:rsidP="003510EA">
            <w:r>
              <w:t>Pas de remarque particulière</w:t>
            </w:r>
          </w:p>
        </w:tc>
        <w:tc>
          <w:tcPr>
            <w:tcW w:w="532" w:type="dxa"/>
            <w:tcBorders>
              <w:top w:val="nil"/>
              <w:left w:val="single" w:sz="4" w:space="0" w:color="auto"/>
              <w:bottom w:val="nil"/>
              <w:right w:val="nil"/>
            </w:tcBorders>
            <w:shd w:val="clear" w:color="auto" w:fill="auto"/>
          </w:tcPr>
          <w:p w14:paraId="4D21355C" w14:textId="77777777" w:rsidR="00522AB9" w:rsidRDefault="00522AB9" w:rsidP="003510EA">
            <w:pPr>
              <w:rPr>
                <w:b/>
              </w:rPr>
            </w:pPr>
          </w:p>
        </w:tc>
      </w:tr>
    </w:tbl>
    <w:p w14:paraId="0626D025"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43E202A2" w14:textId="77777777" w:rsidTr="003510EA">
        <w:trPr>
          <w:tblHeader/>
        </w:trPr>
        <w:tc>
          <w:tcPr>
            <w:tcW w:w="2943" w:type="dxa"/>
          </w:tcPr>
          <w:p w14:paraId="1A0BD297"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529AB8B5"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14ACC708"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435C3820" w14:textId="77777777" w:rsidR="00522AB9" w:rsidRPr="007132B1" w:rsidRDefault="00522AB9" w:rsidP="003510EA">
            <w:pPr>
              <w:widowControl/>
              <w:spacing w:after="0" w:line="240" w:lineRule="auto"/>
              <w:rPr>
                <w:b/>
                <w:lang w:val="de-CH"/>
              </w:rPr>
            </w:pPr>
          </w:p>
        </w:tc>
      </w:tr>
      <w:tr w:rsidR="00522AB9" w:rsidRPr="00971C09" w14:paraId="2D2908B8" w14:textId="77777777" w:rsidTr="003510EA">
        <w:tc>
          <w:tcPr>
            <w:tcW w:w="2943" w:type="dxa"/>
          </w:tcPr>
          <w:p w14:paraId="508BE6FA"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2228F4C4" w14:textId="77777777" w:rsidR="00522AB9" w:rsidRPr="007132B1" w:rsidRDefault="00522AB9" w:rsidP="003510EA">
            <w:pPr>
              <w:rPr>
                <w:lang w:val="de-CH"/>
              </w:rPr>
            </w:pPr>
          </w:p>
        </w:tc>
        <w:tc>
          <w:tcPr>
            <w:tcW w:w="5620" w:type="dxa"/>
          </w:tcPr>
          <w:p w14:paraId="1842C4EB"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54892A4F" w14:textId="77777777" w:rsidR="00522AB9" w:rsidRPr="007132B1" w:rsidRDefault="00522AB9" w:rsidP="003510EA">
            <w:pPr>
              <w:rPr>
                <w:b/>
                <w:lang w:val="de-CH"/>
              </w:rPr>
            </w:pPr>
          </w:p>
        </w:tc>
      </w:tr>
    </w:tbl>
    <w:p w14:paraId="1A404387" w14:textId="77777777" w:rsidR="00522AB9" w:rsidRPr="008B5D61" w:rsidRDefault="00522AB9" w:rsidP="00522AB9">
      <w:pPr>
        <w:pStyle w:val="Titre1"/>
        <w:rPr>
          <w:lang w:val="it-CH"/>
        </w:rPr>
      </w:pPr>
      <w:bookmarkStart w:id="21" w:name="_Toc93667908"/>
      <w:r w:rsidRPr="008B5D61">
        <w:rPr>
          <w:lang w:val="it-CH"/>
        </w:rPr>
        <w:lastRenderedPageBreak/>
        <w:t xml:space="preserve">BR 18 Zivildienstverordnung / </w:t>
      </w:r>
      <w:r w:rsidR="008B5D61" w:rsidRPr="008B5D61">
        <w:rPr>
          <w:lang w:val="it-CH"/>
        </w:rPr>
        <w:t>Ordonnance sur le service civil</w:t>
      </w:r>
      <w:r w:rsidRPr="008B5D61">
        <w:rPr>
          <w:lang w:val="it-CH"/>
        </w:rPr>
        <w:t xml:space="preserve"> / </w:t>
      </w:r>
      <w:r w:rsidR="00895FF0" w:rsidRPr="00895FF0">
        <w:rPr>
          <w:lang w:val="it-CH"/>
        </w:rPr>
        <w:t>Ordinanza sul servizio civile</w:t>
      </w:r>
      <w:r w:rsidR="00895FF0" w:rsidRPr="008B5D61">
        <w:rPr>
          <w:lang w:val="it-CH"/>
        </w:rPr>
        <w:t xml:space="preserve"> </w:t>
      </w:r>
      <w:r w:rsidRPr="008B5D61">
        <w:rPr>
          <w:lang w:val="it-CH"/>
        </w:rPr>
        <w:t>(</w:t>
      </w:r>
      <w:r w:rsidR="00895FF0">
        <w:rPr>
          <w:lang w:val="it-CH"/>
        </w:rPr>
        <w:t>824.01</w:t>
      </w:r>
      <w:r w:rsidRPr="008B5D61">
        <w:rPr>
          <w:lang w:val="it-CH"/>
        </w:rPr>
        <w:t>)</w:t>
      </w:r>
      <w:bookmarkEnd w:id="21"/>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2890DC96" w14:textId="77777777" w:rsidTr="003510EA">
        <w:trPr>
          <w:tblHeader/>
        </w:trPr>
        <w:tc>
          <w:tcPr>
            <w:tcW w:w="14092" w:type="dxa"/>
            <w:tcBorders>
              <w:top w:val="single" w:sz="4" w:space="0" w:color="auto"/>
              <w:left w:val="single" w:sz="4" w:space="0" w:color="auto"/>
              <w:bottom w:val="nil"/>
              <w:right w:val="single" w:sz="4" w:space="0" w:color="auto"/>
            </w:tcBorders>
          </w:tcPr>
          <w:p w14:paraId="2E6B4CDD"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65708450" w14:textId="77777777" w:rsidR="00522AB9" w:rsidRDefault="00522AB9" w:rsidP="003510EA">
            <w:pPr>
              <w:pStyle w:val="Betreff"/>
              <w:widowControl/>
              <w:spacing w:before="0" w:after="0" w:line="240" w:lineRule="auto"/>
            </w:pPr>
          </w:p>
        </w:tc>
      </w:tr>
      <w:tr w:rsidR="00522AB9" w14:paraId="5A4499F7"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586B3311" w14:textId="77777777" w:rsidR="00522AB9" w:rsidRDefault="002839E5" w:rsidP="003510EA">
            <w:r>
              <w:t>Pas de remarque particulière</w:t>
            </w:r>
          </w:p>
        </w:tc>
        <w:tc>
          <w:tcPr>
            <w:tcW w:w="532" w:type="dxa"/>
            <w:tcBorders>
              <w:top w:val="nil"/>
              <w:left w:val="single" w:sz="4" w:space="0" w:color="auto"/>
              <w:bottom w:val="nil"/>
              <w:right w:val="nil"/>
            </w:tcBorders>
            <w:shd w:val="clear" w:color="auto" w:fill="auto"/>
          </w:tcPr>
          <w:p w14:paraId="23930572" w14:textId="77777777" w:rsidR="00522AB9" w:rsidRDefault="00522AB9" w:rsidP="003510EA">
            <w:pPr>
              <w:rPr>
                <w:b/>
              </w:rPr>
            </w:pPr>
          </w:p>
        </w:tc>
      </w:tr>
    </w:tbl>
    <w:p w14:paraId="14D37160"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58180FAA" w14:textId="77777777" w:rsidTr="003510EA">
        <w:trPr>
          <w:tblHeader/>
        </w:trPr>
        <w:tc>
          <w:tcPr>
            <w:tcW w:w="2943" w:type="dxa"/>
          </w:tcPr>
          <w:p w14:paraId="0EB11EC9"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3BF6AD42"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01618536"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15401FFE" w14:textId="77777777" w:rsidR="00522AB9" w:rsidRPr="007132B1" w:rsidRDefault="00522AB9" w:rsidP="003510EA">
            <w:pPr>
              <w:widowControl/>
              <w:spacing w:after="0" w:line="240" w:lineRule="auto"/>
              <w:rPr>
                <w:b/>
                <w:lang w:val="de-CH"/>
              </w:rPr>
            </w:pPr>
          </w:p>
        </w:tc>
      </w:tr>
      <w:tr w:rsidR="00522AB9" w:rsidRPr="00971C09" w14:paraId="49AF99DD" w14:textId="77777777" w:rsidTr="003510EA">
        <w:tc>
          <w:tcPr>
            <w:tcW w:w="2943" w:type="dxa"/>
          </w:tcPr>
          <w:p w14:paraId="2E1DE189"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4B620ECC" w14:textId="77777777" w:rsidR="00522AB9" w:rsidRPr="007132B1" w:rsidRDefault="00522AB9" w:rsidP="003510EA">
            <w:pPr>
              <w:rPr>
                <w:lang w:val="de-CH"/>
              </w:rPr>
            </w:pPr>
          </w:p>
        </w:tc>
        <w:tc>
          <w:tcPr>
            <w:tcW w:w="5620" w:type="dxa"/>
          </w:tcPr>
          <w:p w14:paraId="0BDE93A3"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74D27A6D" w14:textId="77777777" w:rsidR="00522AB9" w:rsidRPr="007132B1" w:rsidRDefault="00522AB9" w:rsidP="003510EA">
            <w:pPr>
              <w:rPr>
                <w:b/>
                <w:lang w:val="de-CH"/>
              </w:rPr>
            </w:pPr>
          </w:p>
        </w:tc>
      </w:tr>
    </w:tbl>
    <w:p w14:paraId="70AE8D45" w14:textId="77777777" w:rsidR="00522AB9" w:rsidRPr="007132B1" w:rsidRDefault="00522AB9" w:rsidP="00522AB9">
      <w:pPr>
        <w:pStyle w:val="Titre1"/>
        <w:rPr>
          <w:lang w:val="de-CH"/>
        </w:rPr>
      </w:pPr>
      <w:bookmarkStart w:id="22" w:name="_Toc93667909"/>
      <w:r w:rsidRPr="007132B1">
        <w:rPr>
          <w:lang w:val="de-CH"/>
        </w:rPr>
        <w:lastRenderedPageBreak/>
        <w:t xml:space="preserve">WBF 01 Verordnung des WBF über die biologische Landwirtschaft / </w:t>
      </w:r>
      <w:proofErr w:type="spellStart"/>
      <w:r w:rsidRPr="007132B1">
        <w:rPr>
          <w:lang w:val="de-CH"/>
        </w:rPr>
        <w:t>Ordonnance</w:t>
      </w:r>
      <w:proofErr w:type="spellEnd"/>
      <w:r w:rsidRPr="007132B1">
        <w:rPr>
          <w:lang w:val="de-CH"/>
        </w:rPr>
        <w:t xml:space="preserve"> du DEFR </w:t>
      </w:r>
      <w:proofErr w:type="spellStart"/>
      <w:r w:rsidRPr="007132B1">
        <w:rPr>
          <w:lang w:val="de-CH"/>
        </w:rPr>
        <w:t>sur</w:t>
      </w:r>
      <w:proofErr w:type="spellEnd"/>
      <w:r w:rsidRPr="007132B1">
        <w:rPr>
          <w:lang w:val="de-CH"/>
        </w:rPr>
        <w:t xml:space="preserve"> </w:t>
      </w:r>
      <w:proofErr w:type="spellStart"/>
      <w:r w:rsidRPr="007132B1">
        <w:rPr>
          <w:lang w:val="de-CH"/>
        </w:rPr>
        <w:t>l'agriculture</w:t>
      </w:r>
      <w:proofErr w:type="spellEnd"/>
      <w:r w:rsidRPr="007132B1">
        <w:rPr>
          <w:lang w:val="de-CH"/>
        </w:rPr>
        <w:t xml:space="preserve"> </w:t>
      </w:r>
      <w:proofErr w:type="spellStart"/>
      <w:r w:rsidRPr="007132B1">
        <w:rPr>
          <w:lang w:val="de-CH"/>
        </w:rPr>
        <w:t>biologique</w:t>
      </w:r>
      <w:proofErr w:type="spellEnd"/>
      <w:r w:rsidRPr="007132B1">
        <w:rPr>
          <w:lang w:val="de-CH"/>
        </w:rPr>
        <w:t xml:space="preserve"> / </w:t>
      </w:r>
      <w:proofErr w:type="spellStart"/>
      <w:r w:rsidRPr="007132B1">
        <w:rPr>
          <w:lang w:val="de-CH"/>
        </w:rPr>
        <w:t>Ordinanza</w:t>
      </w:r>
      <w:proofErr w:type="spellEnd"/>
      <w:r w:rsidRPr="007132B1">
        <w:rPr>
          <w:lang w:val="de-CH"/>
        </w:rPr>
        <w:t xml:space="preserve"> del DEFR </w:t>
      </w:r>
      <w:proofErr w:type="spellStart"/>
      <w:r w:rsidRPr="007132B1">
        <w:rPr>
          <w:lang w:val="de-CH"/>
        </w:rPr>
        <w:t>sull'agricoltura</w:t>
      </w:r>
      <w:proofErr w:type="spellEnd"/>
      <w:r w:rsidRPr="007132B1">
        <w:rPr>
          <w:lang w:val="de-CH"/>
        </w:rPr>
        <w:t xml:space="preserve"> </w:t>
      </w:r>
      <w:proofErr w:type="spellStart"/>
      <w:r w:rsidRPr="007132B1">
        <w:rPr>
          <w:lang w:val="de-CH"/>
        </w:rPr>
        <w:t>biologica</w:t>
      </w:r>
      <w:proofErr w:type="spellEnd"/>
      <w:r w:rsidRPr="007132B1">
        <w:rPr>
          <w:lang w:val="de-CH"/>
        </w:rPr>
        <w:t xml:space="preserve"> (910.181)</w:t>
      </w:r>
      <w:bookmarkEnd w:id="22"/>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3FCF9DB5" w14:textId="77777777" w:rsidTr="003510EA">
        <w:trPr>
          <w:tblHeader/>
        </w:trPr>
        <w:tc>
          <w:tcPr>
            <w:tcW w:w="14092" w:type="dxa"/>
            <w:tcBorders>
              <w:top w:val="single" w:sz="4" w:space="0" w:color="auto"/>
              <w:left w:val="single" w:sz="4" w:space="0" w:color="auto"/>
              <w:bottom w:val="nil"/>
              <w:right w:val="single" w:sz="4" w:space="0" w:color="auto"/>
            </w:tcBorders>
          </w:tcPr>
          <w:p w14:paraId="736E9609"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747ECEC7" w14:textId="77777777" w:rsidR="00522AB9" w:rsidRDefault="00522AB9" w:rsidP="003510EA">
            <w:pPr>
              <w:pStyle w:val="Betreff"/>
              <w:widowControl/>
              <w:spacing w:before="0" w:after="0" w:line="240" w:lineRule="auto"/>
            </w:pPr>
          </w:p>
        </w:tc>
      </w:tr>
      <w:tr w:rsidR="00522AB9" w14:paraId="38E50AC6"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1AE1F482" w14:textId="36FA32B4" w:rsidR="00522AB9" w:rsidRDefault="00C357E6" w:rsidP="00C357E6">
            <w:r>
              <w:t>En lien avec la trajectoire de réduction des risques liés à l’utilisation de pesticides, AGORA demande l’introduction de la culture biologique au niveau parcellaire pour les cultures pérennes.</w:t>
            </w:r>
          </w:p>
        </w:tc>
        <w:tc>
          <w:tcPr>
            <w:tcW w:w="532" w:type="dxa"/>
            <w:tcBorders>
              <w:top w:val="nil"/>
              <w:left w:val="single" w:sz="4" w:space="0" w:color="auto"/>
              <w:bottom w:val="nil"/>
              <w:right w:val="nil"/>
            </w:tcBorders>
            <w:shd w:val="clear" w:color="auto" w:fill="auto"/>
          </w:tcPr>
          <w:p w14:paraId="696DEB34" w14:textId="77777777" w:rsidR="00522AB9" w:rsidRDefault="00522AB9" w:rsidP="003510EA">
            <w:pPr>
              <w:rPr>
                <w:b/>
              </w:rPr>
            </w:pPr>
          </w:p>
        </w:tc>
      </w:tr>
    </w:tbl>
    <w:p w14:paraId="45DB2273"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76705C52" w14:textId="77777777" w:rsidTr="003510EA">
        <w:trPr>
          <w:tblHeader/>
        </w:trPr>
        <w:tc>
          <w:tcPr>
            <w:tcW w:w="2943" w:type="dxa"/>
          </w:tcPr>
          <w:p w14:paraId="02C56B6D"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6AB6D94F"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03BBAC0F"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51C46555" w14:textId="77777777" w:rsidR="00522AB9" w:rsidRPr="007132B1" w:rsidRDefault="00522AB9" w:rsidP="003510EA">
            <w:pPr>
              <w:widowControl/>
              <w:spacing w:after="0" w:line="240" w:lineRule="auto"/>
              <w:rPr>
                <w:b/>
                <w:lang w:val="de-CH"/>
              </w:rPr>
            </w:pPr>
          </w:p>
        </w:tc>
      </w:tr>
      <w:tr w:rsidR="00522AB9" w:rsidRPr="00971C09" w14:paraId="382FA9D3" w14:textId="77777777" w:rsidTr="003510EA">
        <w:tc>
          <w:tcPr>
            <w:tcW w:w="2943" w:type="dxa"/>
          </w:tcPr>
          <w:p w14:paraId="4F92ABF3"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48DB745A" w14:textId="77777777" w:rsidR="00522AB9" w:rsidRPr="007132B1" w:rsidRDefault="00522AB9" w:rsidP="003510EA">
            <w:pPr>
              <w:rPr>
                <w:lang w:val="de-CH"/>
              </w:rPr>
            </w:pPr>
          </w:p>
        </w:tc>
        <w:tc>
          <w:tcPr>
            <w:tcW w:w="5620" w:type="dxa"/>
          </w:tcPr>
          <w:p w14:paraId="260B69D4"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1EE7A849" w14:textId="77777777" w:rsidR="00522AB9" w:rsidRPr="007132B1" w:rsidRDefault="00522AB9" w:rsidP="003510EA">
            <w:pPr>
              <w:rPr>
                <w:b/>
                <w:lang w:val="de-CH"/>
              </w:rPr>
            </w:pPr>
          </w:p>
        </w:tc>
      </w:tr>
    </w:tbl>
    <w:p w14:paraId="1792CB10" w14:textId="77777777" w:rsidR="00522AB9" w:rsidRPr="006157A9" w:rsidRDefault="00522AB9" w:rsidP="00522AB9">
      <w:pPr>
        <w:pStyle w:val="Titre1"/>
      </w:pPr>
      <w:bookmarkStart w:id="23" w:name="_Toc93667910"/>
      <w:r w:rsidRPr="006157A9">
        <w:lastRenderedPageBreak/>
        <w:t xml:space="preserve">WBF 02 </w:t>
      </w:r>
      <w:proofErr w:type="spellStart"/>
      <w:r w:rsidRPr="006157A9">
        <w:t>Verordnung</w:t>
      </w:r>
      <w:proofErr w:type="spellEnd"/>
      <w:r w:rsidRPr="006157A9">
        <w:t xml:space="preserve"> des WBF </w:t>
      </w:r>
      <w:proofErr w:type="spellStart"/>
      <w:r w:rsidRPr="006157A9">
        <w:t>über</w:t>
      </w:r>
      <w:proofErr w:type="spellEnd"/>
      <w:r w:rsidRPr="006157A9">
        <w:t xml:space="preserve"> die </w:t>
      </w:r>
      <w:proofErr w:type="spellStart"/>
      <w:r w:rsidRPr="006157A9">
        <w:t>Hygiene</w:t>
      </w:r>
      <w:proofErr w:type="spellEnd"/>
      <w:r w:rsidRPr="006157A9">
        <w:t xml:space="preserve"> </w:t>
      </w:r>
      <w:proofErr w:type="spellStart"/>
      <w:r w:rsidRPr="006157A9">
        <w:t>bei</w:t>
      </w:r>
      <w:proofErr w:type="spellEnd"/>
      <w:r w:rsidRPr="006157A9">
        <w:t xml:space="preserve"> der </w:t>
      </w:r>
      <w:proofErr w:type="spellStart"/>
      <w:r w:rsidRPr="006157A9">
        <w:t>Primärproduktion</w:t>
      </w:r>
      <w:proofErr w:type="spellEnd"/>
      <w:r w:rsidRPr="006157A9">
        <w:t xml:space="preserve"> / </w:t>
      </w:r>
      <w:r w:rsidR="008B5D61" w:rsidRPr="006157A9">
        <w:t>Ordonnance du DEFR concernant l’hygièn</w:t>
      </w:r>
      <w:r w:rsidR="00292FE2" w:rsidRPr="006157A9">
        <w:t>e dans la production primaire </w:t>
      </w:r>
      <w:r w:rsidRPr="006157A9">
        <w:t xml:space="preserve">/ </w:t>
      </w:r>
      <w:proofErr w:type="spellStart"/>
      <w:r w:rsidR="00895FF0" w:rsidRPr="006157A9">
        <w:t>Ordinanza</w:t>
      </w:r>
      <w:proofErr w:type="spellEnd"/>
      <w:r w:rsidR="00895FF0" w:rsidRPr="006157A9">
        <w:t xml:space="preserve"> </w:t>
      </w:r>
      <w:proofErr w:type="spellStart"/>
      <w:r w:rsidR="00895FF0" w:rsidRPr="006157A9">
        <w:t>del</w:t>
      </w:r>
      <w:proofErr w:type="spellEnd"/>
      <w:r w:rsidR="00895FF0" w:rsidRPr="006157A9">
        <w:t xml:space="preserve"> DEFR </w:t>
      </w:r>
      <w:proofErr w:type="spellStart"/>
      <w:r w:rsidR="00895FF0" w:rsidRPr="006157A9">
        <w:t>concernente</w:t>
      </w:r>
      <w:proofErr w:type="spellEnd"/>
      <w:r w:rsidR="00895FF0" w:rsidRPr="006157A9">
        <w:t xml:space="preserve"> l’</w:t>
      </w:r>
      <w:proofErr w:type="spellStart"/>
      <w:r w:rsidR="00895FF0" w:rsidRPr="006157A9">
        <w:t>igiene</w:t>
      </w:r>
      <w:proofErr w:type="spellEnd"/>
      <w:r w:rsidR="00895FF0" w:rsidRPr="006157A9">
        <w:t xml:space="preserve"> </w:t>
      </w:r>
      <w:proofErr w:type="spellStart"/>
      <w:r w:rsidR="00895FF0" w:rsidRPr="006157A9">
        <w:t>nella</w:t>
      </w:r>
      <w:proofErr w:type="spellEnd"/>
      <w:r w:rsidR="00895FF0" w:rsidRPr="006157A9">
        <w:t xml:space="preserve"> </w:t>
      </w:r>
      <w:proofErr w:type="spellStart"/>
      <w:r w:rsidR="00895FF0" w:rsidRPr="006157A9">
        <w:t>produzione</w:t>
      </w:r>
      <w:proofErr w:type="spellEnd"/>
      <w:r w:rsidR="00895FF0" w:rsidRPr="006157A9">
        <w:t xml:space="preserve"> </w:t>
      </w:r>
      <w:proofErr w:type="spellStart"/>
      <w:r w:rsidR="00895FF0" w:rsidRPr="006157A9">
        <w:t>primaria</w:t>
      </w:r>
      <w:proofErr w:type="spellEnd"/>
      <w:r w:rsidRPr="006157A9">
        <w:t xml:space="preserve"> (</w:t>
      </w:r>
      <w:r w:rsidR="00895FF0" w:rsidRPr="006157A9">
        <w:t>916.020.1</w:t>
      </w:r>
      <w:r w:rsidRPr="006157A9">
        <w:t>)</w:t>
      </w:r>
      <w:bookmarkEnd w:id="23"/>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549AED41" w14:textId="77777777" w:rsidTr="003510EA">
        <w:trPr>
          <w:tblHeader/>
        </w:trPr>
        <w:tc>
          <w:tcPr>
            <w:tcW w:w="14092" w:type="dxa"/>
            <w:tcBorders>
              <w:top w:val="single" w:sz="4" w:space="0" w:color="auto"/>
              <w:left w:val="single" w:sz="4" w:space="0" w:color="auto"/>
              <w:bottom w:val="nil"/>
              <w:right w:val="single" w:sz="4" w:space="0" w:color="auto"/>
            </w:tcBorders>
          </w:tcPr>
          <w:p w14:paraId="7584DC42"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0502B9B4" w14:textId="77777777" w:rsidR="00522AB9" w:rsidRDefault="00522AB9" w:rsidP="003510EA">
            <w:pPr>
              <w:pStyle w:val="Betreff"/>
              <w:widowControl/>
              <w:spacing w:before="0" w:after="0" w:line="240" w:lineRule="auto"/>
            </w:pPr>
          </w:p>
        </w:tc>
      </w:tr>
      <w:tr w:rsidR="00522AB9" w14:paraId="04F2B3C3"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568CBFA9" w14:textId="77777777" w:rsidR="00522AB9" w:rsidRDefault="002839E5" w:rsidP="003510EA">
            <w:r>
              <w:t>Pas de remarque particulière</w:t>
            </w:r>
          </w:p>
        </w:tc>
        <w:tc>
          <w:tcPr>
            <w:tcW w:w="532" w:type="dxa"/>
            <w:tcBorders>
              <w:top w:val="nil"/>
              <w:left w:val="single" w:sz="4" w:space="0" w:color="auto"/>
              <w:bottom w:val="nil"/>
              <w:right w:val="nil"/>
            </w:tcBorders>
            <w:shd w:val="clear" w:color="auto" w:fill="auto"/>
          </w:tcPr>
          <w:p w14:paraId="70A1A98F" w14:textId="77777777" w:rsidR="00522AB9" w:rsidRDefault="00522AB9" w:rsidP="003510EA">
            <w:pPr>
              <w:rPr>
                <w:b/>
              </w:rPr>
            </w:pPr>
          </w:p>
        </w:tc>
      </w:tr>
    </w:tbl>
    <w:p w14:paraId="6DE6E706"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4DFE76BE" w14:textId="77777777" w:rsidTr="003510EA">
        <w:trPr>
          <w:tblHeader/>
        </w:trPr>
        <w:tc>
          <w:tcPr>
            <w:tcW w:w="2943" w:type="dxa"/>
          </w:tcPr>
          <w:p w14:paraId="4E39D14E"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1B1F8E8E"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24ACA2AC"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0DE96619" w14:textId="77777777" w:rsidR="00522AB9" w:rsidRPr="007132B1" w:rsidRDefault="00522AB9" w:rsidP="003510EA">
            <w:pPr>
              <w:widowControl/>
              <w:spacing w:after="0" w:line="240" w:lineRule="auto"/>
              <w:rPr>
                <w:b/>
                <w:lang w:val="de-CH"/>
              </w:rPr>
            </w:pPr>
          </w:p>
        </w:tc>
      </w:tr>
      <w:tr w:rsidR="00522AB9" w:rsidRPr="00971C09" w14:paraId="1C3FC0A6" w14:textId="77777777" w:rsidTr="003510EA">
        <w:tc>
          <w:tcPr>
            <w:tcW w:w="2943" w:type="dxa"/>
          </w:tcPr>
          <w:p w14:paraId="361E3090"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3F39E07A" w14:textId="77777777" w:rsidR="00522AB9" w:rsidRPr="007132B1" w:rsidRDefault="00522AB9" w:rsidP="003510EA">
            <w:pPr>
              <w:rPr>
                <w:lang w:val="de-CH"/>
              </w:rPr>
            </w:pPr>
          </w:p>
        </w:tc>
        <w:tc>
          <w:tcPr>
            <w:tcW w:w="5620" w:type="dxa"/>
          </w:tcPr>
          <w:p w14:paraId="2A656BD5"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0FE6971C" w14:textId="77777777" w:rsidR="00522AB9" w:rsidRPr="007132B1" w:rsidRDefault="00522AB9" w:rsidP="003510EA">
            <w:pPr>
              <w:rPr>
                <w:b/>
                <w:lang w:val="de-CH"/>
              </w:rPr>
            </w:pPr>
          </w:p>
        </w:tc>
      </w:tr>
    </w:tbl>
    <w:p w14:paraId="54CE71FA" w14:textId="77777777" w:rsidR="00522AB9" w:rsidRPr="008B5D61" w:rsidRDefault="00522AB9" w:rsidP="00522AB9">
      <w:pPr>
        <w:pStyle w:val="Titre1"/>
      </w:pPr>
      <w:bookmarkStart w:id="24" w:name="_Toc93667911"/>
      <w:r w:rsidRPr="008B5D61">
        <w:lastRenderedPageBreak/>
        <w:t xml:space="preserve">WBF 03 </w:t>
      </w:r>
      <w:proofErr w:type="spellStart"/>
      <w:r w:rsidRPr="008B5D61">
        <w:t>Verordnung</w:t>
      </w:r>
      <w:proofErr w:type="spellEnd"/>
      <w:r w:rsidRPr="008B5D61">
        <w:t xml:space="preserve"> des WBF </w:t>
      </w:r>
      <w:proofErr w:type="spellStart"/>
      <w:r w:rsidRPr="008B5D61">
        <w:t>über</w:t>
      </w:r>
      <w:proofErr w:type="spellEnd"/>
      <w:r w:rsidRPr="008B5D61">
        <w:t xml:space="preserve"> den </w:t>
      </w:r>
      <w:proofErr w:type="spellStart"/>
      <w:r w:rsidRPr="008B5D61">
        <w:t>zivilen</w:t>
      </w:r>
      <w:proofErr w:type="spellEnd"/>
      <w:r w:rsidRPr="008B5D61">
        <w:t xml:space="preserve"> </w:t>
      </w:r>
      <w:proofErr w:type="spellStart"/>
      <w:r w:rsidRPr="008B5D61">
        <w:t>Ersatzdienst</w:t>
      </w:r>
      <w:proofErr w:type="spellEnd"/>
      <w:r w:rsidRPr="008B5D61">
        <w:t xml:space="preserve"> / </w:t>
      </w:r>
      <w:r w:rsidR="008B5D61" w:rsidRPr="008B5D61">
        <w:t>Ordonnance du DEFR sur le service civil de remplacement</w:t>
      </w:r>
      <w:r w:rsidRPr="008B5D61">
        <w:t xml:space="preserve"> / </w:t>
      </w:r>
      <w:proofErr w:type="spellStart"/>
      <w:r w:rsidR="00895FF0" w:rsidRPr="00895FF0">
        <w:t>Ordinanza</w:t>
      </w:r>
      <w:proofErr w:type="spellEnd"/>
      <w:r w:rsidR="00895FF0" w:rsidRPr="00895FF0">
        <w:t xml:space="preserve"> </w:t>
      </w:r>
      <w:proofErr w:type="spellStart"/>
      <w:r w:rsidR="00895FF0" w:rsidRPr="00895FF0">
        <w:t>del</w:t>
      </w:r>
      <w:proofErr w:type="spellEnd"/>
      <w:r w:rsidR="00895FF0" w:rsidRPr="00895FF0">
        <w:t xml:space="preserve"> DEFR </w:t>
      </w:r>
      <w:proofErr w:type="spellStart"/>
      <w:r w:rsidR="00895FF0" w:rsidRPr="00895FF0">
        <w:t>sul</w:t>
      </w:r>
      <w:proofErr w:type="spellEnd"/>
      <w:r w:rsidR="00895FF0" w:rsidRPr="00895FF0">
        <w:t xml:space="preserve"> </w:t>
      </w:r>
      <w:proofErr w:type="spellStart"/>
      <w:r w:rsidR="00895FF0" w:rsidRPr="00895FF0">
        <w:t>servizio</w:t>
      </w:r>
      <w:proofErr w:type="spellEnd"/>
      <w:r w:rsidR="00895FF0" w:rsidRPr="00895FF0">
        <w:t xml:space="preserve"> civile</w:t>
      </w:r>
      <w:r w:rsidRPr="008B5D61">
        <w:t xml:space="preserve"> (</w:t>
      </w:r>
      <w:r w:rsidR="00D62AE4">
        <w:t>824.012.2</w:t>
      </w:r>
      <w:r w:rsidRPr="008B5D61">
        <w:t>)</w:t>
      </w:r>
      <w:bookmarkEnd w:id="24"/>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4EA36038" w14:textId="77777777" w:rsidTr="003510EA">
        <w:trPr>
          <w:tblHeader/>
        </w:trPr>
        <w:tc>
          <w:tcPr>
            <w:tcW w:w="14092" w:type="dxa"/>
            <w:tcBorders>
              <w:top w:val="single" w:sz="4" w:space="0" w:color="auto"/>
              <w:left w:val="single" w:sz="4" w:space="0" w:color="auto"/>
              <w:bottom w:val="nil"/>
              <w:right w:val="single" w:sz="4" w:space="0" w:color="auto"/>
            </w:tcBorders>
          </w:tcPr>
          <w:p w14:paraId="0EF75D37"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42BFAED8" w14:textId="77777777" w:rsidR="00522AB9" w:rsidRDefault="00522AB9" w:rsidP="003510EA">
            <w:pPr>
              <w:pStyle w:val="Betreff"/>
              <w:widowControl/>
              <w:spacing w:before="0" w:after="0" w:line="240" w:lineRule="auto"/>
            </w:pPr>
          </w:p>
        </w:tc>
      </w:tr>
      <w:tr w:rsidR="00522AB9" w14:paraId="409E3519"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6CAF36AF" w14:textId="77777777" w:rsidR="00522AB9" w:rsidRDefault="002839E5" w:rsidP="003510EA">
            <w:r>
              <w:t>Pas de remarque particulière</w:t>
            </w:r>
          </w:p>
        </w:tc>
        <w:tc>
          <w:tcPr>
            <w:tcW w:w="532" w:type="dxa"/>
            <w:tcBorders>
              <w:top w:val="nil"/>
              <w:left w:val="single" w:sz="4" w:space="0" w:color="auto"/>
              <w:bottom w:val="nil"/>
              <w:right w:val="nil"/>
            </w:tcBorders>
            <w:shd w:val="clear" w:color="auto" w:fill="auto"/>
          </w:tcPr>
          <w:p w14:paraId="18D1B876" w14:textId="77777777" w:rsidR="00522AB9" w:rsidRDefault="00522AB9" w:rsidP="003510EA">
            <w:pPr>
              <w:rPr>
                <w:b/>
              </w:rPr>
            </w:pPr>
          </w:p>
        </w:tc>
      </w:tr>
    </w:tbl>
    <w:p w14:paraId="1067DCB2"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2F4683F6" w14:textId="77777777" w:rsidTr="003510EA">
        <w:trPr>
          <w:tblHeader/>
        </w:trPr>
        <w:tc>
          <w:tcPr>
            <w:tcW w:w="2943" w:type="dxa"/>
          </w:tcPr>
          <w:p w14:paraId="7B8A5F9E"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06833121"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720074DC"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16900CC4" w14:textId="77777777" w:rsidR="00522AB9" w:rsidRPr="007132B1" w:rsidRDefault="00522AB9" w:rsidP="003510EA">
            <w:pPr>
              <w:widowControl/>
              <w:spacing w:after="0" w:line="240" w:lineRule="auto"/>
              <w:rPr>
                <w:b/>
                <w:lang w:val="de-CH"/>
              </w:rPr>
            </w:pPr>
          </w:p>
        </w:tc>
      </w:tr>
      <w:tr w:rsidR="00522AB9" w:rsidRPr="00971C09" w14:paraId="148E6D86" w14:textId="77777777" w:rsidTr="003510EA">
        <w:tc>
          <w:tcPr>
            <w:tcW w:w="2943" w:type="dxa"/>
          </w:tcPr>
          <w:p w14:paraId="3F413628"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43C76270" w14:textId="77777777" w:rsidR="00522AB9" w:rsidRPr="007132B1" w:rsidRDefault="00522AB9" w:rsidP="003510EA">
            <w:pPr>
              <w:rPr>
                <w:lang w:val="de-CH"/>
              </w:rPr>
            </w:pPr>
          </w:p>
        </w:tc>
        <w:tc>
          <w:tcPr>
            <w:tcW w:w="5620" w:type="dxa"/>
          </w:tcPr>
          <w:p w14:paraId="53184E95"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668B998C" w14:textId="77777777" w:rsidR="00522AB9" w:rsidRPr="007132B1" w:rsidRDefault="00522AB9" w:rsidP="003510EA">
            <w:pPr>
              <w:rPr>
                <w:b/>
                <w:lang w:val="de-CH"/>
              </w:rPr>
            </w:pPr>
          </w:p>
        </w:tc>
      </w:tr>
    </w:tbl>
    <w:p w14:paraId="370C631B" w14:textId="77777777" w:rsidR="00522AB9" w:rsidRPr="006157A9" w:rsidRDefault="00522AB9" w:rsidP="00522AB9">
      <w:pPr>
        <w:pStyle w:val="Titre1"/>
      </w:pPr>
      <w:bookmarkStart w:id="25" w:name="_Toc93667912"/>
      <w:r w:rsidRPr="006157A9">
        <w:lastRenderedPageBreak/>
        <w:t xml:space="preserve">BLW 01 </w:t>
      </w:r>
      <w:proofErr w:type="spellStart"/>
      <w:r w:rsidRPr="006157A9">
        <w:t>Verordnung</w:t>
      </w:r>
      <w:proofErr w:type="spellEnd"/>
      <w:r w:rsidRPr="006157A9">
        <w:t xml:space="preserve"> des BLW </w:t>
      </w:r>
      <w:proofErr w:type="spellStart"/>
      <w:r w:rsidRPr="006157A9">
        <w:t>über</w:t>
      </w:r>
      <w:proofErr w:type="spellEnd"/>
      <w:r w:rsidRPr="006157A9">
        <w:t xml:space="preserve"> </w:t>
      </w:r>
      <w:proofErr w:type="spellStart"/>
      <w:r w:rsidRPr="006157A9">
        <w:t>Investitionshilfen</w:t>
      </w:r>
      <w:proofErr w:type="spellEnd"/>
      <w:r w:rsidRPr="006157A9">
        <w:t xml:space="preserve"> </w:t>
      </w:r>
      <w:proofErr w:type="spellStart"/>
      <w:r w:rsidRPr="006157A9">
        <w:t>und</w:t>
      </w:r>
      <w:proofErr w:type="spellEnd"/>
      <w:r w:rsidRPr="006157A9">
        <w:t xml:space="preserve"> </w:t>
      </w:r>
      <w:proofErr w:type="spellStart"/>
      <w:r w:rsidRPr="006157A9">
        <w:t>soziale</w:t>
      </w:r>
      <w:proofErr w:type="spellEnd"/>
      <w:r w:rsidRPr="006157A9">
        <w:t xml:space="preserve"> </w:t>
      </w:r>
      <w:proofErr w:type="spellStart"/>
      <w:r w:rsidRPr="006157A9">
        <w:t>Begleitmassnahmen</w:t>
      </w:r>
      <w:proofErr w:type="spellEnd"/>
      <w:r w:rsidRPr="006157A9">
        <w:t xml:space="preserve"> in der </w:t>
      </w:r>
      <w:proofErr w:type="spellStart"/>
      <w:r w:rsidRPr="006157A9">
        <w:t>Landwirtschaft</w:t>
      </w:r>
      <w:proofErr w:type="spellEnd"/>
      <w:r w:rsidRPr="006157A9">
        <w:t xml:space="preserve"> / </w:t>
      </w:r>
      <w:r w:rsidR="00292FE2" w:rsidRPr="006157A9">
        <w:t>Ordonnance de l’OFAG sur les aides à l’investissement et les mesures d’accompagnement social dans l’agriculture</w:t>
      </w:r>
      <w:r w:rsidRPr="006157A9">
        <w:t xml:space="preserve"> / </w:t>
      </w:r>
      <w:proofErr w:type="spellStart"/>
      <w:r w:rsidR="00D62AE4" w:rsidRPr="006157A9">
        <w:t>Ordinanza</w:t>
      </w:r>
      <w:proofErr w:type="spellEnd"/>
      <w:r w:rsidR="00D62AE4" w:rsidRPr="006157A9">
        <w:t xml:space="preserve"> </w:t>
      </w:r>
      <w:proofErr w:type="spellStart"/>
      <w:r w:rsidR="00D62AE4" w:rsidRPr="006157A9">
        <w:t>dell’UFAG</w:t>
      </w:r>
      <w:proofErr w:type="spellEnd"/>
      <w:r w:rsidR="00D62AE4" w:rsidRPr="006157A9">
        <w:t xml:space="preserve"> </w:t>
      </w:r>
      <w:proofErr w:type="spellStart"/>
      <w:r w:rsidR="00D62AE4" w:rsidRPr="006157A9">
        <w:t>concernente</w:t>
      </w:r>
      <w:proofErr w:type="spellEnd"/>
      <w:r w:rsidR="00D62AE4" w:rsidRPr="006157A9">
        <w:t xml:space="preserve"> </w:t>
      </w:r>
      <w:proofErr w:type="spellStart"/>
      <w:r w:rsidR="00D62AE4" w:rsidRPr="006157A9">
        <w:t>gli</w:t>
      </w:r>
      <w:proofErr w:type="spellEnd"/>
      <w:r w:rsidR="00D62AE4" w:rsidRPr="006157A9">
        <w:t xml:space="preserve"> </w:t>
      </w:r>
      <w:proofErr w:type="spellStart"/>
      <w:r w:rsidR="00D62AE4" w:rsidRPr="006157A9">
        <w:t>aiuti</w:t>
      </w:r>
      <w:proofErr w:type="spellEnd"/>
      <w:r w:rsidR="00D62AE4" w:rsidRPr="006157A9">
        <w:t xml:space="preserve"> </w:t>
      </w:r>
      <w:proofErr w:type="spellStart"/>
      <w:r w:rsidR="00D62AE4" w:rsidRPr="006157A9">
        <w:t>agli</w:t>
      </w:r>
      <w:proofErr w:type="spellEnd"/>
      <w:r w:rsidR="00D62AE4" w:rsidRPr="006157A9">
        <w:t xml:space="preserve"> </w:t>
      </w:r>
      <w:proofErr w:type="spellStart"/>
      <w:r w:rsidR="00D62AE4" w:rsidRPr="006157A9">
        <w:t>investimenti</w:t>
      </w:r>
      <w:proofErr w:type="spellEnd"/>
      <w:r w:rsidR="00D62AE4" w:rsidRPr="006157A9">
        <w:t xml:space="preserve"> e le </w:t>
      </w:r>
      <w:proofErr w:type="spellStart"/>
      <w:r w:rsidR="00D62AE4" w:rsidRPr="006157A9">
        <w:t>misure</w:t>
      </w:r>
      <w:proofErr w:type="spellEnd"/>
      <w:r w:rsidR="00D62AE4" w:rsidRPr="006157A9">
        <w:t xml:space="preserve"> </w:t>
      </w:r>
      <w:proofErr w:type="spellStart"/>
      <w:r w:rsidR="00D62AE4" w:rsidRPr="006157A9">
        <w:t>sociali</w:t>
      </w:r>
      <w:proofErr w:type="spellEnd"/>
      <w:r w:rsidR="00D62AE4" w:rsidRPr="006157A9">
        <w:t xml:space="preserve"> </w:t>
      </w:r>
      <w:proofErr w:type="spellStart"/>
      <w:r w:rsidR="00D62AE4" w:rsidRPr="006157A9">
        <w:t>collaterali</w:t>
      </w:r>
      <w:proofErr w:type="spellEnd"/>
      <w:r w:rsidR="00D62AE4" w:rsidRPr="006157A9">
        <w:t xml:space="preserve"> </w:t>
      </w:r>
      <w:proofErr w:type="spellStart"/>
      <w:r w:rsidR="00D62AE4" w:rsidRPr="006157A9">
        <w:t>nell’agricoltura</w:t>
      </w:r>
      <w:proofErr w:type="spellEnd"/>
      <w:r w:rsidR="00D62AE4" w:rsidRPr="006157A9">
        <w:t xml:space="preserve"> </w:t>
      </w:r>
      <w:r w:rsidRPr="006157A9">
        <w:t>(</w:t>
      </w:r>
      <w:r w:rsidR="00D62AE4" w:rsidRPr="006157A9">
        <w:t>913.211</w:t>
      </w:r>
      <w:r w:rsidRPr="006157A9">
        <w:t>)</w:t>
      </w:r>
      <w:bookmarkEnd w:id="25"/>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522AB9" w14:paraId="5F0A86BA" w14:textId="77777777" w:rsidTr="003510EA">
        <w:trPr>
          <w:tblHeader/>
        </w:trPr>
        <w:tc>
          <w:tcPr>
            <w:tcW w:w="14092" w:type="dxa"/>
            <w:tcBorders>
              <w:top w:val="single" w:sz="4" w:space="0" w:color="auto"/>
              <w:left w:val="single" w:sz="4" w:space="0" w:color="auto"/>
              <w:bottom w:val="nil"/>
              <w:right w:val="single" w:sz="4" w:space="0" w:color="auto"/>
            </w:tcBorders>
          </w:tcPr>
          <w:p w14:paraId="7142C9D7" w14:textId="77777777" w:rsidR="00522AB9" w:rsidRDefault="00522AB9" w:rsidP="003510EA">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2A461E70" w14:textId="77777777" w:rsidR="00522AB9" w:rsidRDefault="00522AB9" w:rsidP="003510EA">
            <w:pPr>
              <w:pStyle w:val="Betreff"/>
              <w:widowControl/>
              <w:spacing w:before="0" w:after="0" w:line="240" w:lineRule="auto"/>
            </w:pPr>
          </w:p>
        </w:tc>
      </w:tr>
      <w:tr w:rsidR="00522AB9" w14:paraId="7828D95E" w14:textId="77777777" w:rsidTr="003510EA">
        <w:trPr>
          <w:cantSplit/>
          <w:trHeight w:val="1134"/>
          <w:tblHeader/>
        </w:trPr>
        <w:tc>
          <w:tcPr>
            <w:tcW w:w="14092" w:type="dxa"/>
            <w:tcBorders>
              <w:top w:val="nil"/>
              <w:left w:val="single" w:sz="4" w:space="0" w:color="auto"/>
              <w:bottom w:val="single" w:sz="4" w:space="0" w:color="auto"/>
              <w:right w:val="single" w:sz="4" w:space="0" w:color="auto"/>
            </w:tcBorders>
          </w:tcPr>
          <w:p w14:paraId="31DF77D2" w14:textId="77777777" w:rsidR="00522AB9" w:rsidRDefault="002839E5" w:rsidP="003510EA">
            <w:r>
              <w:t>Pas de remarque particulière</w:t>
            </w:r>
          </w:p>
        </w:tc>
        <w:tc>
          <w:tcPr>
            <w:tcW w:w="532" w:type="dxa"/>
            <w:tcBorders>
              <w:top w:val="nil"/>
              <w:left w:val="single" w:sz="4" w:space="0" w:color="auto"/>
              <w:bottom w:val="nil"/>
              <w:right w:val="nil"/>
            </w:tcBorders>
            <w:shd w:val="clear" w:color="auto" w:fill="auto"/>
          </w:tcPr>
          <w:p w14:paraId="65047C7E" w14:textId="77777777" w:rsidR="00522AB9" w:rsidRDefault="00522AB9" w:rsidP="003510EA">
            <w:pPr>
              <w:rPr>
                <w:b/>
              </w:rPr>
            </w:pPr>
          </w:p>
        </w:tc>
      </w:tr>
    </w:tbl>
    <w:p w14:paraId="5227E50E" w14:textId="77777777" w:rsidR="00522AB9" w:rsidRDefault="00522AB9" w:rsidP="00522AB9"/>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522AB9" w:rsidRPr="00971C09" w14:paraId="5368B26C" w14:textId="77777777" w:rsidTr="003510EA">
        <w:trPr>
          <w:tblHeader/>
        </w:trPr>
        <w:tc>
          <w:tcPr>
            <w:tcW w:w="2943" w:type="dxa"/>
          </w:tcPr>
          <w:p w14:paraId="5F8B384E" w14:textId="77777777" w:rsidR="00522AB9" w:rsidRDefault="00522AB9" w:rsidP="003510EA">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7AFBE997" w14:textId="77777777" w:rsidR="00522AB9" w:rsidRDefault="00522AB9" w:rsidP="003510E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5620" w:type="dxa"/>
          </w:tcPr>
          <w:p w14:paraId="2D3D3D38" w14:textId="77777777" w:rsidR="00522AB9" w:rsidRPr="007132B1" w:rsidRDefault="00522AB9" w:rsidP="003510EA">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21624E75" w14:textId="77777777" w:rsidR="00522AB9" w:rsidRPr="007132B1" w:rsidRDefault="00522AB9" w:rsidP="003510EA">
            <w:pPr>
              <w:widowControl/>
              <w:spacing w:after="0" w:line="240" w:lineRule="auto"/>
              <w:rPr>
                <w:b/>
                <w:lang w:val="de-CH"/>
              </w:rPr>
            </w:pPr>
          </w:p>
        </w:tc>
      </w:tr>
      <w:tr w:rsidR="00522AB9" w:rsidRPr="00971C09" w14:paraId="257D6CA6" w14:textId="77777777" w:rsidTr="003510EA">
        <w:tc>
          <w:tcPr>
            <w:tcW w:w="2943" w:type="dxa"/>
          </w:tcPr>
          <w:p w14:paraId="7291C3DB" w14:textId="77777777" w:rsidR="00522AB9" w:rsidRPr="006157A9" w:rsidRDefault="00522AB9" w:rsidP="003510EA">
            <w:pPr>
              <w:pStyle w:val="Anhang"/>
              <w:tabs>
                <w:tab w:val="clear" w:pos="1276"/>
              </w:tabs>
              <w:spacing w:before="0" w:after="260"/>
              <w:outlineLvl w:val="9"/>
              <w:rPr>
                <w:lang w:val="de-CH" w:eastAsia="de-CH"/>
              </w:rPr>
            </w:pPr>
          </w:p>
        </w:tc>
        <w:tc>
          <w:tcPr>
            <w:tcW w:w="5529" w:type="dxa"/>
          </w:tcPr>
          <w:p w14:paraId="5D13949B" w14:textId="77777777" w:rsidR="00522AB9" w:rsidRPr="007132B1" w:rsidRDefault="00522AB9" w:rsidP="003510EA">
            <w:pPr>
              <w:rPr>
                <w:lang w:val="de-CH"/>
              </w:rPr>
            </w:pPr>
          </w:p>
        </w:tc>
        <w:tc>
          <w:tcPr>
            <w:tcW w:w="5620" w:type="dxa"/>
          </w:tcPr>
          <w:p w14:paraId="5338D573" w14:textId="77777777" w:rsidR="00522AB9" w:rsidRPr="007132B1" w:rsidRDefault="00522AB9" w:rsidP="003510EA">
            <w:pPr>
              <w:rPr>
                <w:lang w:val="de-CH"/>
              </w:rPr>
            </w:pPr>
          </w:p>
        </w:tc>
        <w:tc>
          <w:tcPr>
            <w:tcW w:w="532" w:type="dxa"/>
            <w:tcBorders>
              <w:top w:val="nil"/>
              <w:bottom w:val="nil"/>
              <w:right w:val="nil"/>
            </w:tcBorders>
            <w:shd w:val="clear" w:color="auto" w:fill="auto"/>
          </w:tcPr>
          <w:p w14:paraId="46618022" w14:textId="77777777" w:rsidR="00522AB9" w:rsidRPr="007132B1" w:rsidRDefault="00522AB9" w:rsidP="003510EA">
            <w:pPr>
              <w:rPr>
                <w:b/>
                <w:lang w:val="de-CH"/>
              </w:rPr>
            </w:pPr>
          </w:p>
        </w:tc>
      </w:tr>
    </w:tbl>
    <w:p w14:paraId="57BDDD0B" w14:textId="77777777" w:rsidR="00DB4DBB" w:rsidRPr="006157A9" w:rsidRDefault="006778DF" w:rsidP="00DB4DBB">
      <w:pPr>
        <w:pStyle w:val="Titre1"/>
      </w:pPr>
      <w:r>
        <w:lastRenderedPageBreak/>
        <w:t>Ordonnance sur les importations agricoles (916.01) (hors train d’ordonnances)</w:t>
      </w: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gridCol w:w="532"/>
      </w:tblGrid>
      <w:tr w:rsidR="00DB4DBB" w14:paraId="40D1FE65" w14:textId="77777777" w:rsidTr="003F5D0C">
        <w:trPr>
          <w:tblHeader/>
        </w:trPr>
        <w:tc>
          <w:tcPr>
            <w:tcW w:w="14092" w:type="dxa"/>
            <w:tcBorders>
              <w:top w:val="single" w:sz="4" w:space="0" w:color="auto"/>
              <w:left w:val="single" w:sz="4" w:space="0" w:color="auto"/>
              <w:bottom w:val="nil"/>
              <w:right w:val="single" w:sz="4" w:space="0" w:color="auto"/>
            </w:tcBorders>
          </w:tcPr>
          <w:p w14:paraId="29D5C670" w14:textId="77777777" w:rsidR="00DB4DBB" w:rsidRDefault="00DB4DBB" w:rsidP="003F5D0C">
            <w:pPr>
              <w:pStyle w:val="Betreff"/>
              <w:spacing w:before="0" w:after="0" w:line="240" w:lineRule="auto"/>
            </w:pPr>
            <w:r>
              <w:t xml:space="preserve">Allgemeine </w:t>
            </w:r>
            <w:proofErr w:type="spellStart"/>
            <w:r>
              <w:t>Bemerkungen</w:t>
            </w:r>
            <w:proofErr w:type="spellEnd"/>
            <w:r>
              <w:t xml:space="preserve"> / Remarques générales / </w:t>
            </w:r>
            <w:proofErr w:type="spellStart"/>
            <w:r>
              <w:t>Osservazioni</w:t>
            </w:r>
            <w:proofErr w:type="spellEnd"/>
            <w:r>
              <w:t xml:space="preserve"> </w:t>
            </w:r>
            <w:proofErr w:type="spellStart"/>
            <w:proofErr w:type="gramStart"/>
            <w:r>
              <w:t>generali</w:t>
            </w:r>
            <w:proofErr w:type="spellEnd"/>
            <w:r>
              <w:t>:</w:t>
            </w:r>
            <w:proofErr w:type="gramEnd"/>
          </w:p>
        </w:tc>
        <w:tc>
          <w:tcPr>
            <w:tcW w:w="532" w:type="dxa"/>
            <w:tcBorders>
              <w:top w:val="nil"/>
              <w:left w:val="single" w:sz="4" w:space="0" w:color="auto"/>
              <w:bottom w:val="nil"/>
              <w:right w:val="nil"/>
            </w:tcBorders>
            <w:shd w:val="clear" w:color="auto" w:fill="auto"/>
          </w:tcPr>
          <w:p w14:paraId="092A8F8E" w14:textId="77777777" w:rsidR="00DB4DBB" w:rsidRDefault="00DB4DBB" w:rsidP="003F5D0C">
            <w:pPr>
              <w:pStyle w:val="Betreff"/>
              <w:widowControl/>
              <w:spacing w:before="0" w:after="0" w:line="240" w:lineRule="auto"/>
            </w:pPr>
          </w:p>
        </w:tc>
      </w:tr>
      <w:tr w:rsidR="00DB4DBB" w:rsidRPr="003F5D0C" w14:paraId="626FAE1D" w14:textId="77777777" w:rsidTr="003F5D0C">
        <w:trPr>
          <w:cantSplit/>
          <w:trHeight w:val="1134"/>
          <w:tblHeader/>
        </w:trPr>
        <w:tc>
          <w:tcPr>
            <w:tcW w:w="14092" w:type="dxa"/>
            <w:tcBorders>
              <w:top w:val="nil"/>
              <w:left w:val="single" w:sz="4" w:space="0" w:color="auto"/>
              <w:bottom w:val="single" w:sz="4" w:space="0" w:color="auto"/>
              <w:right w:val="single" w:sz="4" w:space="0" w:color="auto"/>
            </w:tcBorders>
          </w:tcPr>
          <w:p w14:paraId="5319514A" w14:textId="1BF5165F" w:rsidR="00DB4DBB" w:rsidRPr="006778DF" w:rsidRDefault="006778DF" w:rsidP="00432C85">
            <w:r w:rsidRPr="006778DF">
              <w:t xml:space="preserve">Au vu de la situation politique internationale, l’approvisionnement </w:t>
            </w:r>
            <w:r>
              <w:t>en matières premières est appelé à jouer un rôle central. Pour cette raison, la protection de la production indigène des cultures stratégiques doit être suffisante pour garantir leur maintien à long terme. Ceci passe notamment par une adaptation de la protection à la frontière des céréales panifiables et fourragères</w:t>
            </w:r>
            <w:r w:rsidR="00432C85">
              <w:t xml:space="preserve"> et ceci dès la récolte 2022. </w:t>
            </w:r>
          </w:p>
        </w:tc>
        <w:tc>
          <w:tcPr>
            <w:tcW w:w="532" w:type="dxa"/>
            <w:tcBorders>
              <w:top w:val="nil"/>
              <w:left w:val="single" w:sz="4" w:space="0" w:color="auto"/>
              <w:bottom w:val="nil"/>
              <w:right w:val="nil"/>
            </w:tcBorders>
            <w:shd w:val="clear" w:color="auto" w:fill="auto"/>
          </w:tcPr>
          <w:p w14:paraId="0D50739B" w14:textId="77777777" w:rsidR="00DB4DBB" w:rsidRPr="006778DF" w:rsidRDefault="00DB4DBB" w:rsidP="003F5D0C">
            <w:pPr>
              <w:rPr>
                <w:b/>
              </w:rPr>
            </w:pPr>
          </w:p>
        </w:tc>
      </w:tr>
    </w:tbl>
    <w:p w14:paraId="71778033" w14:textId="77777777" w:rsidR="00DB4DBB" w:rsidRPr="006778DF" w:rsidRDefault="00DB4DBB" w:rsidP="00DB4DBB"/>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gridCol w:w="532"/>
      </w:tblGrid>
      <w:tr w:rsidR="00DB4DBB" w:rsidRPr="00971C09" w14:paraId="59D53234" w14:textId="77777777" w:rsidTr="003F5D0C">
        <w:trPr>
          <w:tblHeader/>
        </w:trPr>
        <w:tc>
          <w:tcPr>
            <w:tcW w:w="2943" w:type="dxa"/>
          </w:tcPr>
          <w:p w14:paraId="107E136D" w14:textId="77777777" w:rsidR="00DB4DBB" w:rsidRDefault="00DB4DBB" w:rsidP="003F5D0C">
            <w:pPr>
              <w:spacing w:after="0"/>
              <w:rPr>
                <w:b/>
                <w:lang w:val="it-CH"/>
              </w:rPr>
            </w:pPr>
            <w:r>
              <w:rPr>
                <w:b/>
                <w:lang w:val="it-CH"/>
              </w:rPr>
              <w:t xml:space="preserve">Artikel, Ziffer (Anhang) </w:t>
            </w:r>
            <w:r>
              <w:rPr>
                <w:b/>
                <w:lang w:val="it-CH"/>
              </w:rPr>
              <w:br/>
              <w:t>Article, chiffre (annexe)</w:t>
            </w:r>
            <w:r>
              <w:rPr>
                <w:b/>
                <w:lang w:val="it-CH"/>
              </w:rPr>
              <w:br/>
              <w:t>Articolo, numero (allegato)</w:t>
            </w:r>
          </w:p>
        </w:tc>
        <w:tc>
          <w:tcPr>
            <w:tcW w:w="5529" w:type="dxa"/>
          </w:tcPr>
          <w:p w14:paraId="4FBBE97B" w14:textId="77777777" w:rsidR="00DB4DBB" w:rsidRPr="006778DF" w:rsidRDefault="00DB4DBB" w:rsidP="003F5D0C">
            <w:pPr>
              <w:spacing w:after="0"/>
              <w:rPr>
                <w:b/>
              </w:rPr>
            </w:pPr>
            <w:proofErr w:type="spellStart"/>
            <w:r w:rsidRPr="006778DF">
              <w:rPr>
                <w:b/>
              </w:rPr>
              <w:t>Antrag</w:t>
            </w:r>
            <w:proofErr w:type="spellEnd"/>
            <w:r w:rsidRPr="006778DF">
              <w:rPr>
                <w:b/>
              </w:rPr>
              <w:br/>
              <w:t>Proposition</w:t>
            </w:r>
            <w:r w:rsidRPr="006778DF">
              <w:rPr>
                <w:b/>
              </w:rPr>
              <w:br/>
            </w:r>
            <w:proofErr w:type="spellStart"/>
            <w:r w:rsidRPr="006778DF">
              <w:rPr>
                <w:b/>
              </w:rPr>
              <w:t>Richiesta</w:t>
            </w:r>
            <w:proofErr w:type="spellEnd"/>
          </w:p>
        </w:tc>
        <w:tc>
          <w:tcPr>
            <w:tcW w:w="5620" w:type="dxa"/>
          </w:tcPr>
          <w:p w14:paraId="76F8E5F4" w14:textId="77777777" w:rsidR="00DB4DBB" w:rsidRPr="007132B1" w:rsidRDefault="00DB4DBB" w:rsidP="003F5D0C">
            <w:pPr>
              <w:spacing w:after="0"/>
              <w:rPr>
                <w:b/>
                <w:lang w:val="de-CH"/>
              </w:rPr>
            </w:pPr>
            <w:r w:rsidRPr="007132B1">
              <w:rPr>
                <w:b/>
                <w:lang w:val="de-CH"/>
              </w:rPr>
              <w:t>Begründung / Bemerkung</w:t>
            </w:r>
            <w:r w:rsidRPr="007132B1">
              <w:rPr>
                <w:b/>
                <w:lang w:val="de-CH"/>
              </w:rPr>
              <w:br/>
            </w:r>
            <w:proofErr w:type="spellStart"/>
            <w:r w:rsidRPr="007132B1">
              <w:rPr>
                <w:b/>
                <w:lang w:val="de-CH"/>
              </w:rPr>
              <w:t>Justification</w:t>
            </w:r>
            <w:proofErr w:type="spellEnd"/>
            <w:r w:rsidRPr="007132B1">
              <w:rPr>
                <w:b/>
                <w:lang w:val="de-CH"/>
              </w:rPr>
              <w:t xml:space="preserve"> / Remarques</w:t>
            </w:r>
            <w:r w:rsidRPr="007132B1">
              <w:rPr>
                <w:b/>
                <w:lang w:val="de-CH"/>
              </w:rPr>
              <w:br/>
            </w:r>
            <w:proofErr w:type="spellStart"/>
            <w:r w:rsidRPr="007132B1">
              <w:rPr>
                <w:b/>
                <w:lang w:val="de-CH"/>
              </w:rPr>
              <w:t>Motivazione</w:t>
            </w:r>
            <w:proofErr w:type="spellEnd"/>
            <w:r w:rsidRPr="007132B1">
              <w:rPr>
                <w:b/>
                <w:lang w:val="de-CH"/>
              </w:rPr>
              <w:t xml:space="preserve"> / </w:t>
            </w:r>
            <w:proofErr w:type="spellStart"/>
            <w:r w:rsidRPr="007132B1">
              <w:rPr>
                <w:b/>
                <w:lang w:val="de-CH"/>
              </w:rPr>
              <w:t>Osservazioni</w:t>
            </w:r>
            <w:proofErr w:type="spellEnd"/>
          </w:p>
        </w:tc>
        <w:tc>
          <w:tcPr>
            <w:tcW w:w="532" w:type="dxa"/>
            <w:tcBorders>
              <w:top w:val="nil"/>
              <w:bottom w:val="nil"/>
              <w:right w:val="nil"/>
            </w:tcBorders>
            <w:shd w:val="clear" w:color="auto" w:fill="auto"/>
          </w:tcPr>
          <w:p w14:paraId="459AAC6A" w14:textId="77777777" w:rsidR="00DB4DBB" w:rsidRPr="007132B1" w:rsidRDefault="00DB4DBB" w:rsidP="003F5D0C">
            <w:pPr>
              <w:widowControl/>
              <w:spacing w:after="0" w:line="240" w:lineRule="auto"/>
              <w:rPr>
                <w:b/>
                <w:lang w:val="de-CH"/>
              </w:rPr>
            </w:pPr>
          </w:p>
        </w:tc>
      </w:tr>
      <w:tr w:rsidR="00DB4DBB" w:rsidRPr="006778DF" w14:paraId="51DF0D12" w14:textId="77777777" w:rsidTr="003F5D0C">
        <w:tc>
          <w:tcPr>
            <w:tcW w:w="2943" w:type="dxa"/>
          </w:tcPr>
          <w:p w14:paraId="62F3CA9B" w14:textId="77777777" w:rsidR="00DB4DBB" w:rsidRPr="006157A9" w:rsidRDefault="006778DF" w:rsidP="003F5D0C">
            <w:pPr>
              <w:pStyle w:val="Anhang"/>
              <w:tabs>
                <w:tab w:val="clear" w:pos="1276"/>
              </w:tabs>
              <w:spacing w:before="0" w:after="260"/>
              <w:outlineLvl w:val="9"/>
              <w:rPr>
                <w:lang w:val="de-CH" w:eastAsia="de-CH"/>
              </w:rPr>
            </w:pPr>
            <w:r>
              <w:rPr>
                <w:lang w:val="de-CH" w:eastAsia="de-CH"/>
              </w:rPr>
              <w:t>Art. 6, al. 2</w:t>
            </w:r>
          </w:p>
        </w:tc>
        <w:tc>
          <w:tcPr>
            <w:tcW w:w="5529" w:type="dxa"/>
          </w:tcPr>
          <w:p w14:paraId="3DB094B8" w14:textId="77777777" w:rsidR="00DB4DBB" w:rsidRPr="006778DF" w:rsidRDefault="006778DF" w:rsidP="003F5D0C">
            <w:pPr>
              <w:rPr>
                <w:rFonts w:cs="Arial"/>
              </w:rPr>
            </w:pPr>
            <w:r w:rsidRPr="006778DF">
              <w:rPr>
                <w:rFonts w:cs="Arial"/>
                <w:shd w:val="clear" w:color="auto" w:fill="FFFFFF"/>
              </w:rPr>
              <w:t>L’OFAG fixe le droit de douane aux 1</w:t>
            </w:r>
            <w:r w:rsidRPr="006778DF">
              <w:rPr>
                <w:rFonts w:cs="Arial"/>
                <w:shd w:val="clear" w:color="auto" w:fill="FFFFFF"/>
                <w:vertAlign w:val="superscript"/>
              </w:rPr>
              <w:t>er</w:t>
            </w:r>
            <w:r w:rsidRPr="006778DF">
              <w:rPr>
                <w:rFonts w:cs="Arial"/>
                <w:shd w:val="clear" w:color="auto" w:fill="FFFFFF"/>
              </w:rPr>
              <w:t> janvier, 1</w:t>
            </w:r>
            <w:r w:rsidRPr="006778DF">
              <w:rPr>
                <w:rFonts w:cs="Arial"/>
                <w:shd w:val="clear" w:color="auto" w:fill="FFFFFF"/>
                <w:vertAlign w:val="superscript"/>
              </w:rPr>
              <w:t>er</w:t>
            </w:r>
            <w:r w:rsidRPr="006778DF">
              <w:rPr>
                <w:rFonts w:cs="Arial"/>
                <w:shd w:val="clear" w:color="auto" w:fill="FFFFFF"/>
              </w:rPr>
              <w:t> avril, 1</w:t>
            </w:r>
            <w:r w:rsidRPr="006778DF">
              <w:rPr>
                <w:rFonts w:cs="Arial"/>
                <w:shd w:val="clear" w:color="auto" w:fill="FFFFFF"/>
                <w:vertAlign w:val="superscript"/>
              </w:rPr>
              <w:t>er</w:t>
            </w:r>
            <w:r w:rsidRPr="006778DF">
              <w:rPr>
                <w:rFonts w:cs="Arial"/>
                <w:shd w:val="clear" w:color="auto" w:fill="FFFFFF"/>
              </w:rPr>
              <w:t> juillet et 1</w:t>
            </w:r>
            <w:r w:rsidRPr="006778DF">
              <w:rPr>
                <w:rFonts w:cs="Arial"/>
                <w:shd w:val="clear" w:color="auto" w:fill="FFFFFF"/>
                <w:vertAlign w:val="superscript"/>
              </w:rPr>
              <w:t>er</w:t>
            </w:r>
            <w:r w:rsidRPr="006778DF">
              <w:rPr>
                <w:rFonts w:cs="Arial"/>
                <w:shd w:val="clear" w:color="auto" w:fill="FFFFFF"/>
              </w:rPr>
              <w:t xml:space="preserve"> octobre, en veillant à ce que le prix des céréales importées destinées à l’alimentation humaine, majoré du droit de douane et de la contribution au fonds de garantie (art. 16 LAP), corresponde au prix de référence de </w:t>
            </w:r>
            <w:r w:rsidRPr="006778DF">
              <w:rPr>
                <w:rFonts w:cs="Arial"/>
                <w:strike/>
                <w:shd w:val="clear" w:color="auto" w:fill="FFFFFF"/>
              </w:rPr>
              <w:t>53</w:t>
            </w:r>
            <w:r w:rsidRPr="006778DF">
              <w:rPr>
                <w:rFonts w:cs="Arial"/>
                <w:shd w:val="clear" w:color="auto" w:fill="FFFFFF"/>
              </w:rPr>
              <w:t xml:space="preserve"> </w:t>
            </w:r>
            <w:r>
              <w:rPr>
                <w:rFonts w:cs="Arial"/>
                <w:b/>
                <w:shd w:val="clear" w:color="auto" w:fill="FFFFFF"/>
              </w:rPr>
              <w:t xml:space="preserve">56 </w:t>
            </w:r>
            <w:r w:rsidRPr="006778DF">
              <w:rPr>
                <w:rFonts w:cs="Arial"/>
                <w:shd w:val="clear" w:color="auto" w:fill="FFFFFF"/>
              </w:rPr>
              <w:t>francs par 100 kilogrammes.</w:t>
            </w:r>
          </w:p>
        </w:tc>
        <w:tc>
          <w:tcPr>
            <w:tcW w:w="5620" w:type="dxa"/>
          </w:tcPr>
          <w:p w14:paraId="3A462CB6" w14:textId="77777777" w:rsidR="00DB4DBB" w:rsidRPr="006778DF" w:rsidRDefault="006778DF" w:rsidP="003F5D0C">
            <w:r>
              <w:t>Voir remarques générales</w:t>
            </w:r>
          </w:p>
        </w:tc>
        <w:tc>
          <w:tcPr>
            <w:tcW w:w="532" w:type="dxa"/>
            <w:tcBorders>
              <w:top w:val="nil"/>
              <w:bottom w:val="nil"/>
              <w:right w:val="nil"/>
            </w:tcBorders>
            <w:shd w:val="clear" w:color="auto" w:fill="auto"/>
          </w:tcPr>
          <w:p w14:paraId="312E221A" w14:textId="77777777" w:rsidR="00DB4DBB" w:rsidRPr="006778DF" w:rsidRDefault="00DB4DBB" w:rsidP="003F5D0C">
            <w:pPr>
              <w:rPr>
                <w:b/>
              </w:rPr>
            </w:pPr>
          </w:p>
        </w:tc>
      </w:tr>
      <w:tr w:rsidR="006778DF" w:rsidRPr="006778DF" w14:paraId="7B86339D" w14:textId="77777777" w:rsidTr="003F5D0C">
        <w:tc>
          <w:tcPr>
            <w:tcW w:w="2943" w:type="dxa"/>
          </w:tcPr>
          <w:p w14:paraId="75054C45" w14:textId="77777777" w:rsidR="006778DF" w:rsidRDefault="006778DF" w:rsidP="003F5D0C">
            <w:pPr>
              <w:pStyle w:val="Anhang"/>
              <w:tabs>
                <w:tab w:val="clear" w:pos="1276"/>
              </w:tabs>
              <w:spacing w:before="0" w:after="260"/>
              <w:outlineLvl w:val="9"/>
              <w:rPr>
                <w:lang w:val="de-CH" w:eastAsia="de-CH"/>
              </w:rPr>
            </w:pPr>
            <w:r>
              <w:rPr>
                <w:lang w:val="de-CH" w:eastAsia="de-CH"/>
              </w:rPr>
              <w:t>Art. 6, al. 3</w:t>
            </w:r>
          </w:p>
        </w:tc>
        <w:tc>
          <w:tcPr>
            <w:tcW w:w="5529" w:type="dxa"/>
          </w:tcPr>
          <w:p w14:paraId="674BE003" w14:textId="4B7BA4C9" w:rsidR="006778DF" w:rsidRPr="006778DF" w:rsidRDefault="006778DF" w:rsidP="003F5D0C">
            <w:pPr>
              <w:rPr>
                <w:rFonts w:cs="Arial"/>
                <w:shd w:val="clear" w:color="auto" w:fill="FFFFFF"/>
              </w:rPr>
            </w:pPr>
            <w:r w:rsidRPr="006778DF">
              <w:rPr>
                <w:rFonts w:cs="Arial"/>
                <w:shd w:val="clear" w:color="auto" w:fill="FFFFFF"/>
              </w:rPr>
              <w:t xml:space="preserve">Le droit de douane n’est adapté que si les prix du blé importé, majorés du droit de douane et de la contribution au fonds de garantie dépassent une certaine fourchette. La fourchette est dépassée lorsque les prix s’écartent de 3 francs par 100 kilogrammes du prix de référence. La somme de droit de douane et de la contribution au fonds de garantie (prélèvement à la frontière) ne peut toutefois excéder </w:t>
            </w:r>
            <w:r w:rsidRPr="006778DF">
              <w:rPr>
                <w:rFonts w:cs="Arial"/>
                <w:strike/>
                <w:shd w:val="clear" w:color="auto" w:fill="FFFFFF"/>
              </w:rPr>
              <w:t>23</w:t>
            </w:r>
            <w:r w:rsidRPr="006778DF">
              <w:rPr>
                <w:rFonts w:cs="Arial"/>
                <w:shd w:val="clear" w:color="auto" w:fill="FFFFFF"/>
              </w:rPr>
              <w:t> </w:t>
            </w:r>
            <w:r>
              <w:rPr>
                <w:rFonts w:cs="Arial"/>
                <w:b/>
                <w:shd w:val="clear" w:color="auto" w:fill="FFFFFF"/>
              </w:rPr>
              <w:t xml:space="preserve">30 </w:t>
            </w:r>
            <w:r w:rsidRPr="006778DF">
              <w:rPr>
                <w:rFonts w:cs="Arial"/>
                <w:shd w:val="clear" w:color="auto" w:fill="FFFFFF"/>
              </w:rPr>
              <w:t>francs par 100 kilogrammes.</w:t>
            </w:r>
          </w:p>
        </w:tc>
        <w:tc>
          <w:tcPr>
            <w:tcW w:w="5620" w:type="dxa"/>
          </w:tcPr>
          <w:p w14:paraId="64DDB11F" w14:textId="77777777" w:rsidR="006778DF" w:rsidRDefault="006778DF" w:rsidP="003F5D0C">
            <w:r>
              <w:t>Voir remarques générales</w:t>
            </w:r>
          </w:p>
        </w:tc>
        <w:tc>
          <w:tcPr>
            <w:tcW w:w="532" w:type="dxa"/>
            <w:tcBorders>
              <w:top w:val="nil"/>
              <w:bottom w:val="nil"/>
              <w:right w:val="nil"/>
            </w:tcBorders>
            <w:shd w:val="clear" w:color="auto" w:fill="auto"/>
          </w:tcPr>
          <w:p w14:paraId="27E0F0E4" w14:textId="77777777" w:rsidR="006778DF" w:rsidRPr="006778DF" w:rsidRDefault="006778DF" w:rsidP="003F5D0C">
            <w:pPr>
              <w:rPr>
                <w:b/>
              </w:rPr>
            </w:pPr>
          </w:p>
        </w:tc>
      </w:tr>
      <w:tr w:rsidR="006778DF" w:rsidRPr="006778DF" w14:paraId="08EAB9A1" w14:textId="77777777" w:rsidTr="003F5D0C">
        <w:tc>
          <w:tcPr>
            <w:tcW w:w="2943" w:type="dxa"/>
          </w:tcPr>
          <w:p w14:paraId="6677179A" w14:textId="77777777" w:rsidR="006778DF" w:rsidRDefault="006778DF" w:rsidP="003F5D0C">
            <w:pPr>
              <w:pStyle w:val="Anhang"/>
              <w:tabs>
                <w:tab w:val="clear" w:pos="1276"/>
              </w:tabs>
              <w:spacing w:before="0" w:after="260"/>
              <w:outlineLvl w:val="9"/>
              <w:rPr>
                <w:lang w:val="de-CH" w:eastAsia="de-CH"/>
              </w:rPr>
            </w:pPr>
            <w:r>
              <w:rPr>
                <w:lang w:val="de-CH" w:eastAsia="de-CH"/>
              </w:rPr>
              <w:t xml:space="preserve">Annexe 1, </w:t>
            </w:r>
            <w:proofErr w:type="spellStart"/>
            <w:r>
              <w:rPr>
                <w:lang w:val="de-CH" w:eastAsia="de-CH"/>
              </w:rPr>
              <w:t>ch</w:t>
            </w:r>
            <w:proofErr w:type="spellEnd"/>
            <w:r>
              <w:rPr>
                <w:lang w:val="de-CH" w:eastAsia="de-CH"/>
              </w:rPr>
              <w:t>. 14</w:t>
            </w:r>
          </w:p>
        </w:tc>
        <w:tc>
          <w:tcPr>
            <w:tcW w:w="5529" w:type="dxa"/>
          </w:tcPr>
          <w:p w14:paraId="01D15BAC" w14:textId="77777777" w:rsidR="006778DF" w:rsidRPr="00781CE9" w:rsidRDefault="00781CE9" w:rsidP="003F5D0C">
            <w:pPr>
              <w:rPr>
                <w:rFonts w:cs="Arial"/>
                <w:i/>
                <w:shd w:val="clear" w:color="auto" w:fill="FFFFFF"/>
              </w:rPr>
            </w:pPr>
            <w:r w:rsidRPr="00781CE9">
              <w:rPr>
                <w:rFonts w:cs="Arial"/>
                <w:i/>
                <w:shd w:val="clear" w:color="auto" w:fill="FFFFFF"/>
              </w:rPr>
              <w:t>Augmentation de CHF 5.-/</w:t>
            </w:r>
            <w:proofErr w:type="spellStart"/>
            <w:r w:rsidRPr="00781CE9">
              <w:rPr>
                <w:rFonts w:cs="Arial"/>
                <w:i/>
                <w:shd w:val="clear" w:color="auto" w:fill="FFFFFF"/>
              </w:rPr>
              <w:t>dt</w:t>
            </w:r>
            <w:proofErr w:type="spellEnd"/>
            <w:r w:rsidRPr="00781CE9">
              <w:rPr>
                <w:rFonts w:cs="Arial"/>
                <w:i/>
                <w:shd w:val="clear" w:color="auto" w:fill="FFFFFF"/>
              </w:rPr>
              <w:t xml:space="preserve"> de tous les prix-seuils et valeurs indicatives d’importation.</w:t>
            </w:r>
          </w:p>
        </w:tc>
        <w:tc>
          <w:tcPr>
            <w:tcW w:w="5620" w:type="dxa"/>
          </w:tcPr>
          <w:p w14:paraId="57B6781A" w14:textId="77777777" w:rsidR="006778DF" w:rsidRDefault="00781CE9" w:rsidP="003F5D0C">
            <w:r>
              <w:t>Voir remarques générales</w:t>
            </w:r>
          </w:p>
        </w:tc>
        <w:tc>
          <w:tcPr>
            <w:tcW w:w="532" w:type="dxa"/>
            <w:tcBorders>
              <w:top w:val="nil"/>
              <w:bottom w:val="nil"/>
              <w:right w:val="nil"/>
            </w:tcBorders>
            <w:shd w:val="clear" w:color="auto" w:fill="auto"/>
          </w:tcPr>
          <w:p w14:paraId="0E2A5425" w14:textId="77777777" w:rsidR="006778DF" w:rsidRPr="006778DF" w:rsidRDefault="006778DF" w:rsidP="003F5D0C">
            <w:pPr>
              <w:rPr>
                <w:b/>
              </w:rPr>
            </w:pPr>
          </w:p>
        </w:tc>
      </w:tr>
      <w:tr w:rsidR="00781CE9" w:rsidRPr="006778DF" w14:paraId="1B08943E" w14:textId="77777777" w:rsidTr="003F5D0C">
        <w:tc>
          <w:tcPr>
            <w:tcW w:w="2943" w:type="dxa"/>
          </w:tcPr>
          <w:p w14:paraId="2FE01315" w14:textId="77777777" w:rsidR="00781CE9" w:rsidRDefault="00781CE9" w:rsidP="003F5D0C">
            <w:pPr>
              <w:pStyle w:val="Anhang"/>
              <w:tabs>
                <w:tab w:val="clear" w:pos="1276"/>
              </w:tabs>
              <w:spacing w:before="0" w:after="260"/>
              <w:outlineLvl w:val="9"/>
              <w:rPr>
                <w:lang w:val="de-CH" w:eastAsia="de-CH"/>
              </w:rPr>
            </w:pPr>
            <w:r>
              <w:rPr>
                <w:lang w:val="de-CH" w:eastAsia="de-CH"/>
              </w:rPr>
              <w:t xml:space="preserve">Annexe 1, </w:t>
            </w:r>
            <w:proofErr w:type="spellStart"/>
            <w:r>
              <w:rPr>
                <w:lang w:val="de-CH" w:eastAsia="de-CH"/>
              </w:rPr>
              <w:t>ch</w:t>
            </w:r>
            <w:proofErr w:type="spellEnd"/>
            <w:r>
              <w:rPr>
                <w:lang w:val="de-CH" w:eastAsia="de-CH"/>
              </w:rPr>
              <w:t>. 15</w:t>
            </w:r>
          </w:p>
        </w:tc>
        <w:tc>
          <w:tcPr>
            <w:tcW w:w="5529" w:type="dxa"/>
          </w:tcPr>
          <w:p w14:paraId="4248CBF2" w14:textId="77777777" w:rsidR="00781CE9" w:rsidRPr="00781CE9" w:rsidRDefault="00781CE9" w:rsidP="00781CE9">
            <w:pPr>
              <w:rPr>
                <w:rFonts w:cs="Arial"/>
                <w:i/>
                <w:shd w:val="clear" w:color="auto" w:fill="FFFFFF"/>
              </w:rPr>
            </w:pPr>
            <w:r w:rsidRPr="00781CE9">
              <w:rPr>
                <w:rFonts w:cs="Arial"/>
                <w:i/>
                <w:shd w:val="clear" w:color="auto" w:fill="FFFFFF"/>
              </w:rPr>
              <w:t>Augmentation du taux hors contingent à CHF 50.-/</w:t>
            </w:r>
            <w:proofErr w:type="spellStart"/>
            <w:r w:rsidRPr="00781CE9">
              <w:rPr>
                <w:rFonts w:cs="Arial"/>
                <w:i/>
                <w:shd w:val="clear" w:color="auto" w:fill="FFFFFF"/>
              </w:rPr>
              <w:t>dt</w:t>
            </w:r>
            <w:proofErr w:type="spellEnd"/>
            <w:r w:rsidRPr="00781CE9">
              <w:rPr>
                <w:rFonts w:cs="Arial"/>
                <w:i/>
                <w:shd w:val="clear" w:color="auto" w:fill="FFFFFF"/>
              </w:rPr>
              <w:t xml:space="preserve"> pour les céréales panifiables concernées par le contingent d’importation n°27.</w:t>
            </w:r>
          </w:p>
        </w:tc>
        <w:tc>
          <w:tcPr>
            <w:tcW w:w="5620" w:type="dxa"/>
          </w:tcPr>
          <w:p w14:paraId="7DC4C90B" w14:textId="77777777" w:rsidR="00781CE9" w:rsidRDefault="00781CE9" w:rsidP="003F5D0C">
            <w:r>
              <w:t>Voir remarques générales</w:t>
            </w:r>
          </w:p>
        </w:tc>
        <w:tc>
          <w:tcPr>
            <w:tcW w:w="532" w:type="dxa"/>
            <w:tcBorders>
              <w:top w:val="nil"/>
              <w:bottom w:val="nil"/>
              <w:right w:val="nil"/>
            </w:tcBorders>
            <w:shd w:val="clear" w:color="auto" w:fill="auto"/>
          </w:tcPr>
          <w:p w14:paraId="0161ABCD" w14:textId="77777777" w:rsidR="00781CE9" w:rsidRPr="006778DF" w:rsidRDefault="00781CE9" w:rsidP="003F5D0C">
            <w:pPr>
              <w:rPr>
                <w:b/>
              </w:rPr>
            </w:pPr>
          </w:p>
        </w:tc>
      </w:tr>
    </w:tbl>
    <w:p w14:paraId="332BCDEA" w14:textId="77777777" w:rsidR="00B33F4A" w:rsidRPr="006778DF" w:rsidRDefault="00B33F4A" w:rsidP="00DB4DBB">
      <w:pPr>
        <w:pStyle w:val="Titre1"/>
      </w:pPr>
    </w:p>
    <w:sectPr w:rsidR="00B33F4A" w:rsidRPr="006778D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FDF20" w14:textId="77777777" w:rsidR="00637BC5" w:rsidRDefault="00637BC5">
      <w:r>
        <w:separator/>
      </w:r>
    </w:p>
    <w:p w14:paraId="63AF72F7" w14:textId="77777777" w:rsidR="00637BC5" w:rsidRDefault="00637BC5"/>
  </w:endnote>
  <w:endnote w:type="continuationSeparator" w:id="0">
    <w:p w14:paraId="3D855760" w14:textId="77777777" w:rsidR="00637BC5" w:rsidRDefault="00637BC5">
      <w:r>
        <w:continuationSeparator/>
      </w:r>
    </w:p>
    <w:p w14:paraId="3F75CD26" w14:textId="77777777" w:rsidR="00637BC5" w:rsidRDefault="0063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1C65" w14:textId="77777777" w:rsidR="00637BC5" w:rsidRDefault="00637B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4" w:type="dxa"/>
      <w:tblLayout w:type="fixed"/>
      <w:tblCellMar>
        <w:left w:w="70" w:type="dxa"/>
        <w:right w:w="70" w:type="dxa"/>
      </w:tblCellMar>
      <w:tblLook w:val="01E0" w:firstRow="1" w:lastRow="1" w:firstColumn="1" w:lastColumn="1" w:noHBand="0" w:noVBand="0"/>
    </w:tblPr>
    <w:tblGrid>
      <w:gridCol w:w="14544"/>
    </w:tblGrid>
    <w:tr w:rsidR="00637BC5" w14:paraId="194EC911" w14:textId="77777777">
      <w:trPr>
        <w:cantSplit/>
        <w:trHeight w:val="714"/>
      </w:trPr>
      <w:tc>
        <w:tcPr>
          <w:tcW w:w="14544" w:type="dxa"/>
          <w:vAlign w:val="bottom"/>
        </w:tcPr>
        <w:p w14:paraId="09303430" w14:textId="77777777" w:rsidR="00637BC5" w:rsidRDefault="00637BC5">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sidR="00971C09">
            <w:rPr>
              <w:noProof/>
              <w:sz w:val="20"/>
              <w:szCs w:val="20"/>
            </w:rPr>
            <w:t>5</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971C09">
            <w:rPr>
              <w:noProof/>
              <w:sz w:val="20"/>
              <w:szCs w:val="20"/>
            </w:rPr>
            <w:t>39</w:t>
          </w:r>
          <w:r>
            <w:rPr>
              <w:sz w:val="20"/>
              <w:szCs w:val="20"/>
            </w:rPr>
            <w:fldChar w:fldCharType="end"/>
          </w:r>
        </w:p>
      </w:tc>
    </w:tr>
  </w:tbl>
  <w:p w14:paraId="7E844A6B" w14:textId="77777777" w:rsidR="00637BC5" w:rsidRDefault="00637BC5">
    <w:pPr>
      <w:pStyle w:val="Platzhalter"/>
      <w:rPr>
        <w:lang w:val="en-US"/>
      </w:rPr>
    </w:pPr>
  </w:p>
  <w:p w14:paraId="3427E262" w14:textId="77777777" w:rsidR="00637BC5" w:rsidRDefault="00637BC5">
    <w:pPr>
      <w:pStyle w:val="Platzhal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637BC5" w14:paraId="0C8046A7" w14:textId="77777777">
      <w:trPr>
        <w:cantSplit/>
      </w:trPr>
      <w:tc>
        <w:tcPr>
          <w:tcW w:w="14544" w:type="dxa"/>
          <w:gridSpan w:val="2"/>
          <w:vAlign w:val="bottom"/>
        </w:tcPr>
        <w:p w14:paraId="012F3E93" w14:textId="77777777" w:rsidR="00637BC5" w:rsidRDefault="00637BC5">
          <w:pPr>
            <w:pStyle w:val="Seite"/>
            <w:rPr>
              <w:lang w:val="fr-FR"/>
            </w:rPr>
          </w:pPr>
        </w:p>
      </w:tc>
    </w:tr>
    <w:tr w:rsidR="00637BC5" w14:paraId="4E7A7F9E" w14:textId="77777777">
      <w:trPr>
        <w:gridAfter w:val="1"/>
        <w:wAfter w:w="397" w:type="dxa"/>
        <w:cantSplit/>
        <w:trHeight w:hRule="exact" w:val="480"/>
      </w:trPr>
      <w:tc>
        <w:tcPr>
          <w:tcW w:w="14147" w:type="dxa"/>
          <w:vAlign w:val="bottom"/>
        </w:tcPr>
        <w:p w14:paraId="30231F74" w14:textId="77777777" w:rsidR="00637BC5" w:rsidRDefault="00637BC5">
          <w:pPr>
            <w:pStyle w:val="Pfad"/>
            <w:tabs>
              <w:tab w:val="left" w:pos="4320"/>
            </w:tabs>
            <w:ind w:left="4320"/>
            <w:rPr>
              <w:lang w:val="fr-FR"/>
            </w:rPr>
          </w:pPr>
          <w:bookmarkStart w:id="26" w:name="_Hlk112468646"/>
        </w:p>
      </w:tc>
    </w:tr>
    <w:bookmarkEnd w:id="26"/>
  </w:tbl>
  <w:p w14:paraId="4C7EA3C1" w14:textId="77777777" w:rsidR="00637BC5" w:rsidRDefault="00637BC5">
    <w:pPr>
      <w:pStyle w:val="Platzhalter"/>
      <w:rPr>
        <w:lang w:val="fr-FR"/>
      </w:rPr>
    </w:pPr>
  </w:p>
  <w:p w14:paraId="315D130F" w14:textId="77777777" w:rsidR="00637BC5" w:rsidRDefault="00637BC5">
    <w:pPr>
      <w:pStyle w:val="Platzhal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B003" w14:textId="77777777" w:rsidR="00637BC5" w:rsidRDefault="00637BC5">
      <w:r>
        <w:separator/>
      </w:r>
    </w:p>
    <w:p w14:paraId="5CE54851" w14:textId="77777777" w:rsidR="00637BC5" w:rsidRDefault="00637BC5"/>
  </w:footnote>
  <w:footnote w:type="continuationSeparator" w:id="0">
    <w:p w14:paraId="192DF920" w14:textId="77777777" w:rsidR="00637BC5" w:rsidRDefault="00637BC5">
      <w:r>
        <w:continuationSeparator/>
      </w:r>
    </w:p>
    <w:p w14:paraId="13BAFB12" w14:textId="77777777" w:rsidR="00637BC5" w:rsidRDefault="00637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B3F9" w14:textId="77777777" w:rsidR="00637BC5" w:rsidRDefault="00637B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637BC5" w14:paraId="5CF1137C" w14:textId="77777777">
      <w:trPr>
        <w:cantSplit/>
      </w:trPr>
      <w:tc>
        <w:tcPr>
          <w:tcW w:w="14176" w:type="dxa"/>
        </w:tcPr>
        <w:p w14:paraId="2D1D6D26" w14:textId="77777777" w:rsidR="00637BC5" w:rsidRDefault="00637BC5">
          <w:pPr>
            <w:pStyle w:val="Logo"/>
            <w:rPr>
              <w:sz w:val="18"/>
              <w:szCs w:val="18"/>
            </w:rPr>
          </w:pPr>
        </w:p>
      </w:tc>
    </w:tr>
  </w:tbl>
  <w:p w14:paraId="27855D3B" w14:textId="77777777" w:rsidR="00637BC5" w:rsidRDefault="00637BC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637BC5" w14:paraId="1EF6BD7E" w14:textId="77777777">
      <w:trPr>
        <w:cantSplit/>
        <w:trHeight w:hRule="exact" w:val="575"/>
      </w:trPr>
      <w:tc>
        <w:tcPr>
          <w:tcW w:w="14742" w:type="dxa"/>
        </w:tcPr>
        <w:p w14:paraId="0C010A59" w14:textId="77777777" w:rsidR="00637BC5" w:rsidRDefault="00637BC5">
          <w:pPr>
            <w:pStyle w:val="En-tte"/>
            <w:jc w:val="right"/>
          </w:pPr>
        </w:p>
      </w:tc>
    </w:tr>
  </w:tbl>
  <w:p w14:paraId="7AD05759" w14:textId="01D881B0" w:rsidR="00637BC5" w:rsidRDefault="00637B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A17D50"/>
    <w:multiLevelType w:val="hybridMultilevel"/>
    <w:tmpl w:val="9412F6F2"/>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B221FCB"/>
    <w:multiLevelType w:val="hybridMultilevel"/>
    <w:tmpl w:val="852EBB2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15:restartNumberingAfterBreak="0">
    <w:nsid w:val="24DE0941"/>
    <w:multiLevelType w:val="hybridMultilevel"/>
    <w:tmpl w:val="852EBB2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1"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Titre2"/>
      <w:lvlText w:val="%1.%2"/>
      <w:lvlJc w:val="left"/>
      <w:pPr>
        <w:tabs>
          <w:tab w:val="num" w:pos="576"/>
        </w:tabs>
        <w:ind w:left="576" w:hanging="576"/>
      </w:pPr>
      <w:rPr>
        <w:rFonts w:ascii="Arial" w:hAnsi="Arial" w:hint="default"/>
        <w:b w:val="0"/>
        <w:i w:val="0"/>
        <w:sz w:val="20"/>
      </w:rPr>
    </w:lvl>
    <w:lvl w:ilvl="2">
      <w:start w:val="1"/>
      <w:numFmt w:val="decimal"/>
      <w:pStyle w:val="Titre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4"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Titre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0" w15:restartNumberingAfterBreak="0">
    <w:nsid w:val="7F2160A0"/>
    <w:multiLevelType w:val="hybridMultilevel"/>
    <w:tmpl w:val="5E7C1CF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19"/>
  </w:num>
  <w:num w:numId="5">
    <w:abstractNumId w:val="16"/>
  </w:num>
  <w:num w:numId="6">
    <w:abstractNumId w:val="4"/>
  </w:num>
  <w:num w:numId="7">
    <w:abstractNumId w:val="8"/>
  </w:num>
  <w:num w:numId="8">
    <w:abstractNumId w:val="3"/>
  </w:num>
  <w:num w:numId="9">
    <w:abstractNumId w:val="13"/>
  </w:num>
  <w:num w:numId="10">
    <w:abstractNumId w:val="7"/>
  </w:num>
  <w:num w:numId="11">
    <w:abstractNumId w:val="0"/>
  </w:num>
  <w:num w:numId="12">
    <w:abstractNumId w:val="5"/>
  </w:num>
  <w:num w:numId="13">
    <w:abstractNumId w:val="11"/>
  </w:num>
  <w:num w:numId="14">
    <w:abstractNumId w:val="2"/>
  </w:num>
  <w:num w:numId="15">
    <w:abstractNumId w:val="15"/>
  </w:num>
  <w:num w:numId="16">
    <w:abstractNumId w:val="10"/>
  </w:num>
  <w:num w:numId="17">
    <w:abstractNumId w:val="17"/>
  </w:num>
  <w:num w:numId="18">
    <w:abstractNumId w:val="11"/>
  </w:num>
  <w:num w:numId="19">
    <w:abstractNumId w:val="11"/>
  </w:num>
  <w:num w:numId="20">
    <w:abstractNumId w:val="11"/>
  </w:num>
  <w:num w:numId="21">
    <w:abstractNumId w:val="2"/>
  </w:num>
  <w:num w:numId="22">
    <w:abstractNumId w:val="15"/>
  </w:num>
  <w:num w:numId="23">
    <w:abstractNumId w:val="10"/>
  </w:num>
  <w:num w:numId="24">
    <w:abstractNumId w:val="17"/>
  </w:num>
  <w:num w:numId="25">
    <w:abstractNumId w:val="1"/>
  </w:num>
  <w:num w:numId="26">
    <w:abstractNumId w:val="9"/>
  </w:num>
  <w:num w:numId="27">
    <w:abstractNumId w:val="6"/>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35AD"/>
    <w:rsid w:val="00012C6A"/>
    <w:rsid w:val="000306DC"/>
    <w:rsid w:val="000408E5"/>
    <w:rsid w:val="000C63B4"/>
    <w:rsid w:val="000D72D7"/>
    <w:rsid w:val="00150A79"/>
    <w:rsid w:val="001520A1"/>
    <w:rsid w:val="00187B9A"/>
    <w:rsid w:val="001E652C"/>
    <w:rsid w:val="001E71C0"/>
    <w:rsid w:val="001F11FD"/>
    <w:rsid w:val="002155FD"/>
    <w:rsid w:val="002839E5"/>
    <w:rsid w:val="00292FE2"/>
    <w:rsid w:val="00293B91"/>
    <w:rsid w:val="002B1998"/>
    <w:rsid w:val="002B388B"/>
    <w:rsid w:val="002D15EF"/>
    <w:rsid w:val="003022B4"/>
    <w:rsid w:val="003304EA"/>
    <w:rsid w:val="00333EEF"/>
    <w:rsid w:val="003510EA"/>
    <w:rsid w:val="0037434A"/>
    <w:rsid w:val="003743A7"/>
    <w:rsid w:val="003A3A0E"/>
    <w:rsid w:val="003F5D0C"/>
    <w:rsid w:val="00432C85"/>
    <w:rsid w:val="004646BD"/>
    <w:rsid w:val="00483D0C"/>
    <w:rsid w:val="00522AB9"/>
    <w:rsid w:val="0059676B"/>
    <w:rsid w:val="005E27C5"/>
    <w:rsid w:val="006157A9"/>
    <w:rsid w:val="00637BC5"/>
    <w:rsid w:val="0064509D"/>
    <w:rsid w:val="00653B51"/>
    <w:rsid w:val="006778DF"/>
    <w:rsid w:val="006B2C3B"/>
    <w:rsid w:val="006C083B"/>
    <w:rsid w:val="006C4234"/>
    <w:rsid w:val="00706E50"/>
    <w:rsid w:val="007132B1"/>
    <w:rsid w:val="00781CE9"/>
    <w:rsid w:val="007C3226"/>
    <w:rsid w:val="007D6071"/>
    <w:rsid w:val="00863CAA"/>
    <w:rsid w:val="00877CC7"/>
    <w:rsid w:val="00895FF0"/>
    <w:rsid w:val="008966EA"/>
    <w:rsid w:val="008B5D61"/>
    <w:rsid w:val="00913674"/>
    <w:rsid w:val="0092177D"/>
    <w:rsid w:val="00937E98"/>
    <w:rsid w:val="009474BF"/>
    <w:rsid w:val="00971C09"/>
    <w:rsid w:val="009B233A"/>
    <w:rsid w:val="00A47048"/>
    <w:rsid w:val="00A759B1"/>
    <w:rsid w:val="00AA51C4"/>
    <w:rsid w:val="00AF5277"/>
    <w:rsid w:val="00B035EE"/>
    <w:rsid w:val="00B16F58"/>
    <w:rsid w:val="00B33F4A"/>
    <w:rsid w:val="00B571A3"/>
    <w:rsid w:val="00B617D9"/>
    <w:rsid w:val="00B67434"/>
    <w:rsid w:val="00B77017"/>
    <w:rsid w:val="00BD7228"/>
    <w:rsid w:val="00BE50FD"/>
    <w:rsid w:val="00C21449"/>
    <w:rsid w:val="00C357E6"/>
    <w:rsid w:val="00C82634"/>
    <w:rsid w:val="00CB2168"/>
    <w:rsid w:val="00CB324C"/>
    <w:rsid w:val="00CD1C4D"/>
    <w:rsid w:val="00CF6670"/>
    <w:rsid w:val="00D01AF0"/>
    <w:rsid w:val="00D574EB"/>
    <w:rsid w:val="00D62AE4"/>
    <w:rsid w:val="00D75272"/>
    <w:rsid w:val="00D83091"/>
    <w:rsid w:val="00DB4DBB"/>
    <w:rsid w:val="00DB6FCC"/>
    <w:rsid w:val="00DD756E"/>
    <w:rsid w:val="00DE25B3"/>
    <w:rsid w:val="00E16FD1"/>
    <w:rsid w:val="00E32D08"/>
    <w:rsid w:val="00E92E95"/>
    <w:rsid w:val="00EB38BA"/>
    <w:rsid w:val="00EE197F"/>
    <w:rsid w:val="00EE2DE3"/>
    <w:rsid w:val="00F030E6"/>
    <w:rsid w:val="00F13D11"/>
    <w:rsid w:val="00F15583"/>
    <w:rsid w:val="00F1662E"/>
    <w:rsid w:val="00F33B6E"/>
    <w:rsid w:val="00F8397D"/>
    <w:rsid w:val="00FD58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46C4C"/>
  <w15:docId w15:val="{86F35072-6572-4580-ACFE-F7AF2E98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60" w:line="260" w:lineRule="atLeast"/>
    </w:pPr>
    <w:rPr>
      <w:lang w:val="fr-CH"/>
    </w:rPr>
  </w:style>
  <w:style w:type="paragraph" w:styleId="Titre1">
    <w:name w:val="heading 1"/>
    <w:basedOn w:val="Normal"/>
    <w:next w:val="Normal"/>
    <w:qFormat/>
    <w:pPr>
      <w:pageBreakBefore/>
      <w:spacing w:line="240" w:lineRule="auto"/>
      <w:outlineLvl w:val="0"/>
    </w:pPr>
    <w:rPr>
      <w:rFonts w:cs="Arial"/>
      <w:b/>
      <w:bCs/>
      <w:kern w:val="28"/>
      <w:szCs w:val="42"/>
    </w:rPr>
  </w:style>
  <w:style w:type="paragraph" w:styleId="Titre2">
    <w:name w:val="heading 2"/>
    <w:basedOn w:val="Normal"/>
    <w:next w:val="Normal"/>
    <w:qFormat/>
    <w:pPr>
      <w:numPr>
        <w:ilvl w:val="1"/>
        <w:numId w:val="20"/>
      </w:numPr>
      <w:outlineLvl w:val="1"/>
    </w:pPr>
    <w:rPr>
      <w:rFonts w:cs="Arial"/>
      <w:bCs/>
      <w:iCs/>
      <w:szCs w:val="28"/>
    </w:rPr>
  </w:style>
  <w:style w:type="paragraph" w:styleId="Titre3">
    <w:name w:val="heading 3"/>
    <w:basedOn w:val="Normal"/>
    <w:next w:val="Normal"/>
    <w:qFormat/>
    <w:pPr>
      <w:numPr>
        <w:ilvl w:val="2"/>
        <w:numId w:val="20"/>
      </w:numPr>
      <w:outlineLvl w:val="2"/>
    </w:pPr>
    <w:rPr>
      <w:rFonts w:ascii="Helvetica" w:hAnsi="Helvetica" w:cs="Arial"/>
      <w:bCs/>
    </w:rPr>
  </w:style>
  <w:style w:type="paragraph" w:styleId="Titre4">
    <w:name w:val="heading 4"/>
    <w:basedOn w:val="Normal"/>
    <w:next w:val="Normal"/>
    <w:pPr>
      <w:keepNext/>
      <w:numPr>
        <w:ilvl w:val="3"/>
        <w:numId w:val="3"/>
      </w:numPr>
      <w:spacing w:before="240" w:after="120"/>
      <w:outlineLvl w:val="3"/>
    </w:pPr>
  </w:style>
  <w:style w:type="paragraph" w:styleId="Titre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Titre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itre7">
    <w:name w:val="heading 7"/>
    <w:basedOn w:val="Normal"/>
    <w:next w:val="Normal"/>
    <w:uiPriority w:val="9"/>
    <w:semiHidden/>
    <w:unhideWhenUsed/>
    <w:qFormat/>
    <w:pPr>
      <w:spacing w:before="240" w:after="60"/>
      <w:outlineLvl w:val="6"/>
    </w:pPr>
    <w:rPr>
      <w:rFonts w:ascii="Calibri" w:hAnsi="Calibri"/>
      <w:sz w:val="24"/>
      <w:szCs w:val="24"/>
    </w:rPr>
  </w:style>
  <w:style w:type="paragraph" w:styleId="Titre8">
    <w:name w:val="heading 8"/>
    <w:basedOn w:val="Normal"/>
    <w:next w:val="Normal"/>
    <w:uiPriority w:val="9"/>
    <w:semiHidden/>
    <w:unhideWhenUsed/>
    <w:qFormat/>
    <w:pPr>
      <w:spacing w:before="240" w:after="60"/>
      <w:outlineLvl w:val="7"/>
    </w:pPr>
    <w:rPr>
      <w:rFonts w:ascii="Calibri" w:hAnsi="Calibri"/>
      <w:i/>
      <w:iCs/>
      <w:sz w:val="24"/>
      <w:szCs w:val="24"/>
    </w:rPr>
  </w:style>
  <w:style w:type="paragraph" w:styleId="Titre9">
    <w:name w:val="heading 9"/>
    <w:basedOn w:val="Normal"/>
    <w:next w:val="Normal"/>
    <w:uiPriority w:val="9"/>
    <w:semiHidden/>
    <w:unhideWhenUsed/>
    <w:qFormat/>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Standard2"/>
    <w:semiHidden/>
    <w:pPr>
      <w:suppressAutoHyphens/>
      <w:spacing w:line="200" w:lineRule="exact"/>
    </w:pPr>
    <w:rPr>
      <w:bCs/>
      <w:noProof/>
      <w:sz w:val="15"/>
    </w:rPr>
  </w:style>
  <w:style w:type="paragraph" w:styleId="Pieddepag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Pieddepage"/>
    <w:qFormat/>
    <w:pPr>
      <w:spacing w:line="160" w:lineRule="exact"/>
    </w:pPr>
    <w:rPr>
      <w:noProof/>
      <w:sz w:val="12"/>
      <w:szCs w:val="12"/>
    </w:rPr>
  </w:style>
  <w:style w:type="paragraph" w:styleId="Titre">
    <w:name w:val="Title"/>
    <w:basedOn w:val="Normal"/>
    <w:next w:val="Normal"/>
    <w:qFormat/>
    <w:pPr>
      <w:spacing w:after="240" w:line="240" w:lineRule="auto"/>
      <w:outlineLvl w:val="0"/>
    </w:pPr>
    <w:rPr>
      <w:rFonts w:cs="Arial"/>
      <w:b/>
      <w:bCs/>
      <w:kern w:val="28"/>
      <w:szCs w:val="32"/>
    </w:rPr>
  </w:style>
  <w:style w:type="paragraph" w:customStyle="1" w:styleId="Seite">
    <w:name w:val="Seite"/>
    <w:basedOn w:val="Normal"/>
    <w:pPr>
      <w:suppressAutoHyphens/>
      <w:spacing w:line="200" w:lineRule="exact"/>
      <w:jc w:val="right"/>
    </w:pPr>
    <w:rPr>
      <w:sz w:val="14"/>
      <w:szCs w:val="14"/>
    </w:rPr>
  </w:style>
  <w:style w:type="paragraph" w:customStyle="1" w:styleId="Aufzhlungabc1cmeingerckt">
    <w:name w:val="Aufzählung a.b.c 1 cm eingerückt"/>
    <w:basedOn w:val="Normal"/>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Normal"/>
    <w:pPr>
      <w:spacing w:line="240" w:lineRule="auto"/>
    </w:pPr>
    <w:rPr>
      <w:sz w:val="2"/>
      <w:szCs w:val="2"/>
    </w:rPr>
  </w:style>
  <w:style w:type="paragraph" w:customStyle="1" w:styleId="KopfFett">
    <w:name w:val="KopfFett"/>
    <w:basedOn w:val="En-tte"/>
    <w:next w:val="En-tte"/>
    <w:rPr>
      <w:b/>
    </w:rPr>
  </w:style>
  <w:style w:type="paragraph" w:customStyle="1" w:styleId="KopfDept">
    <w:name w:val="KopfDept"/>
    <w:basedOn w:val="En-tte"/>
    <w:next w:val="Normal"/>
    <w:pPr>
      <w:spacing w:after="100"/>
    </w:pPr>
  </w:style>
  <w:style w:type="paragraph" w:customStyle="1" w:styleId="Anhang">
    <w:name w:val="Anhang"/>
    <w:basedOn w:val="Normal"/>
    <w:next w:val="Normal"/>
    <w:pPr>
      <w:tabs>
        <w:tab w:val="left" w:pos="1276"/>
      </w:tabs>
      <w:spacing w:before="520" w:after="0"/>
      <w:outlineLvl w:val="0"/>
    </w:pPr>
    <w:rPr>
      <w:lang w:val="de-DE" w:eastAsia="de-DE"/>
    </w:rPr>
  </w:style>
  <w:style w:type="paragraph" w:customStyle="1" w:styleId="Anhangweitere">
    <w:name w:val="Anhang weitere"/>
    <w:basedOn w:val="Normal"/>
    <w:pPr>
      <w:numPr>
        <w:numId w:val="1"/>
      </w:numPr>
      <w:tabs>
        <w:tab w:val="clear" w:pos="1996"/>
        <w:tab w:val="num" w:pos="100"/>
      </w:tabs>
      <w:spacing w:after="0"/>
      <w:ind w:left="100" w:hanging="100"/>
    </w:pPr>
    <w:rPr>
      <w:lang w:val="de-DE"/>
    </w:rPr>
  </w:style>
  <w:style w:type="paragraph" w:customStyle="1" w:styleId="Anreden">
    <w:name w:val="Anreden"/>
    <w:basedOn w:val="Normal"/>
    <w:rPr>
      <w:lang w:val="de-DE"/>
    </w:rPr>
  </w:style>
  <w:style w:type="paragraph" w:customStyle="1" w:styleId="Aufzhlung123">
    <w:name w:val="Aufzählung 1.2.3"/>
    <w:basedOn w:val="Normal"/>
    <w:qFormat/>
    <w:pPr>
      <w:numPr>
        <w:numId w:val="21"/>
      </w:numPr>
      <w:spacing w:after="0"/>
    </w:pPr>
    <w:rPr>
      <w:lang w:eastAsia="de-DE"/>
    </w:rPr>
  </w:style>
  <w:style w:type="paragraph" w:customStyle="1" w:styleId="Aufzhlung1231cmeingerckt">
    <w:name w:val="Aufzählung 1.2.3 1 cm eingerückt"/>
    <w:basedOn w:val="Normal"/>
    <w:pPr>
      <w:numPr>
        <w:numId w:val="4"/>
      </w:numPr>
      <w:spacing w:after="0"/>
    </w:pPr>
    <w:rPr>
      <w:lang w:eastAsia="de-DE"/>
    </w:rPr>
  </w:style>
  <w:style w:type="paragraph" w:customStyle="1" w:styleId="Aufzhlung1232cmeingerckt">
    <w:name w:val="Aufzählung 1.2.3. 2 cm eingerückt"/>
    <w:basedOn w:val="Normal"/>
    <w:pPr>
      <w:numPr>
        <w:numId w:val="5"/>
      </w:numPr>
      <w:spacing w:after="0"/>
    </w:pPr>
    <w:rPr>
      <w:lang w:eastAsia="de-DE"/>
    </w:rPr>
  </w:style>
  <w:style w:type="paragraph" w:customStyle="1" w:styleId="Aufzhlungabc">
    <w:name w:val="Aufzählung a)b)c)"/>
    <w:basedOn w:val="Normal"/>
    <w:qFormat/>
    <w:pPr>
      <w:numPr>
        <w:numId w:val="22"/>
      </w:numPr>
      <w:spacing w:after="0"/>
    </w:pPr>
    <w:rPr>
      <w:lang w:eastAsia="de-DE"/>
    </w:rPr>
  </w:style>
  <w:style w:type="paragraph" w:customStyle="1" w:styleId="Aufzhlungabc1cmeingerckt0">
    <w:name w:val="Aufzählung a)b)c) 1 cm eingerückt"/>
    <w:basedOn w:val="Normal"/>
    <w:pPr>
      <w:numPr>
        <w:numId w:val="6"/>
      </w:numPr>
      <w:spacing w:after="0"/>
    </w:pPr>
    <w:rPr>
      <w:lang w:eastAsia="de-DE"/>
    </w:rPr>
  </w:style>
  <w:style w:type="paragraph" w:customStyle="1" w:styleId="Aufzhlungabc2cmeingerckt">
    <w:name w:val="Aufzählung a)b)c) 2 cm eingerückt"/>
    <w:basedOn w:val="Normal"/>
    <w:pPr>
      <w:numPr>
        <w:numId w:val="7"/>
      </w:numPr>
      <w:spacing w:after="0"/>
    </w:pPr>
    <w:rPr>
      <w:lang w:eastAsia="de-DE"/>
    </w:rPr>
  </w:style>
  <w:style w:type="paragraph" w:customStyle="1" w:styleId="AufzhlungPunkt">
    <w:name w:val="Aufzählung Punkt"/>
    <w:basedOn w:val="Normal"/>
    <w:qFormat/>
    <w:pPr>
      <w:numPr>
        <w:numId w:val="23"/>
      </w:numPr>
      <w:tabs>
        <w:tab w:val="left" w:pos="284"/>
      </w:tabs>
      <w:spacing w:after="0"/>
    </w:pPr>
    <w:rPr>
      <w:lang w:eastAsia="de-DE"/>
    </w:rPr>
  </w:style>
  <w:style w:type="paragraph" w:customStyle="1" w:styleId="AufzhlungPunkt1cmeingerckt">
    <w:name w:val="Aufzählung Punkt 1 cm eingerückt"/>
    <w:basedOn w:val="Normal"/>
    <w:pPr>
      <w:numPr>
        <w:numId w:val="9"/>
      </w:numPr>
      <w:spacing w:after="0"/>
      <w:ind w:left="924" w:hanging="357"/>
    </w:pPr>
    <w:rPr>
      <w:lang w:eastAsia="de-DE"/>
    </w:rPr>
  </w:style>
  <w:style w:type="paragraph" w:customStyle="1" w:styleId="AufzhlungPunkt2cmeingerckt">
    <w:name w:val="Aufzählung Punkt 2 cm eingerückt"/>
    <w:basedOn w:val="Normal"/>
    <w:pPr>
      <w:numPr>
        <w:numId w:val="10"/>
      </w:numPr>
      <w:spacing w:after="0"/>
      <w:ind w:left="1491" w:hanging="357"/>
    </w:pPr>
    <w:rPr>
      <w:lang w:eastAsia="de-DE"/>
    </w:rPr>
  </w:style>
  <w:style w:type="paragraph" w:customStyle="1" w:styleId="AufzhlungStrich">
    <w:name w:val="Aufzählung Strich"/>
    <w:basedOn w:val="Normal"/>
    <w:qFormat/>
    <w:pPr>
      <w:numPr>
        <w:numId w:val="24"/>
      </w:numPr>
      <w:tabs>
        <w:tab w:val="left" w:pos="284"/>
      </w:tabs>
      <w:spacing w:after="0"/>
    </w:pPr>
    <w:rPr>
      <w:lang w:eastAsia="de-DE"/>
    </w:rPr>
  </w:style>
  <w:style w:type="paragraph" w:customStyle="1" w:styleId="AufzhlungStrich1cmeingerckt">
    <w:name w:val="Aufzählung Strich 1 cm eingerückt"/>
    <w:basedOn w:val="Normal"/>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Normal"/>
    <w:pPr>
      <w:numPr>
        <w:numId w:val="12"/>
      </w:numPr>
      <w:tabs>
        <w:tab w:val="left" w:pos="1418"/>
      </w:tabs>
      <w:spacing w:after="0"/>
      <w:ind w:left="1418" w:hanging="284"/>
    </w:pPr>
    <w:rPr>
      <w:lang w:eastAsia="de-DE"/>
    </w:rPr>
  </w:style>
  <w:style w:type="paragraph" w:customStyle="1" w:styleId="AufzhlungZahl">
    <w:name w:val="Aufzählung Zahl"/>
    <w:basedOn w:val="Normal"/>
    <w:autoRedefine/>
    <w:pPr>
      <w:numPr>
        <w:numId w:val="2"/>
      </w:numPr>
      <w:tabs>
        <w:tab w:val="left" w:pos="72"/>
      </w:tabs>
      <w:spacing w:after="0"/>
    </w:pPr>
    <w:rPr>
      <w:b/>
    </w:rPr>
  </w:style>
  <w:style w:type="paragraph" w:customStyle="1" w:styleId="Betreff">
    <w:name w:val="Betreff"/>
    <w:basedOn w:val="Normal"/>
    <w:qFormat/>
    <w:pPr>
      <w:spacing w:before="440"/>
    </w:pPr>
    <w:rPr>
      <w:b/>
    </w:rPr>
  </w:style>
  <w:style w:type="paragraph" w:customStyle="1" w:styleId="BriefschlussBLW">
    <w:name w:val="Briefschluss (BLW)"/>
    <w:basedOn w:val="Normal"/>
    <w:pPr>
      <w:spacing w:after="780"/>
    </w:pPr>
  </w:style>
  <w:style w:type="paragraph" w:customStyle="1" w:styleId="BriefschlussName">
    <w:name w:val="Briefschluss (Name)"/>
    <w:basedOn w:val="Normal"/>
    <w:next w:val="Anhang"/>
    <w:pPr>
      <w:spacing w:before="780" w:after="0"/>
    </w:pPr>
    <w:rPr>
      <w:lang w:eastAsia="de-DE"/>
    </w:rPr>
  </w:style>
  <w:style w:type="paragraph" w:customStyle="1" w:styleId="BriefschlussNurLeiter">
    <w:name w:val="Briefschluss (Nur Leiter)"/>
    <w:basedOn w:val="Normal"/>
    <w:next w:val="Anhang"/>
    <w:rPr>
      <w:lang w:eastAsia="de-DE"/>
    </w:rPr>
  </w:style>
  <w:style w:type="character" w:styleId="lev">
    <w:name w:val="Strong"/>
    <w:basedOn w:val="Policepardfaut"/>
  </w:style>
  <w:style w:type="paragraph" w:customStyle="1" w:styleId="Standard2">
    <w:name w:val="Standard2"/>
    <w:pPr>
      <w:spacing w:line="260" w:lineRule="exact"/>
    </w:pPr>
    <w:rPr>
      <w:lang w:eastAsia="de-DE"/>
    </w:rPr>
  </w:style>
  <w:style w:type="paragraph" w:styleId="Formuledepolitesse">
    <w:name w:val="Closing"/>
    <w:basedOn w:val="Normal"/>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Normal"/>
    <w:next w:val="Normal"/>
    <w:qFormat/>
    <w:pPr>
      <w:spacing w:after="140" w:line="200" w:lineRule="exact"/>
    </w:pPr>
    <w:rPr>
      <w:sz w:val="14"/>
      <w:u w:val="single"/>
    </w:rPr>
  </w:style>
  <w:style w:type="paragraph" w:customStyle="1" w:styleId="Ref">
    <w:name w:val="Ref"/>
    <w:basedOn w:val="Standard2"/>
    <w:next w:val="Normal"/>
    <w:qFormat/>
    <w:pPr>
      <w:widowControl w:val="0"/>
      <w:spacing w:line="200" w:lineRule="exact"/>
    </w:pPr>
    <w:rPr>
      <w:b/>
      <w:bCs/>
      <w:sz w:val="15"/>
    </w:rPr>
  </w:style>
  <w:style w:type="paragraph" w:customStyle="1" w:styleId="StandardEingerckt1cm">
    <w:name w:val="Standard  Eingerückt 1 cm"/>
    <w:basedOn w:val="Normal"/>
    <w:pPr>
      <w:ind w:left="567"/>
    </w:pPr>
    <w:rPr>
      <w:lang w:eastAsia="de-DE"/>
    </w:rPr>
  </w:style>
  <w:style w:type="paragraph" w:customStyle="1" w:styleId="StandardEingerckt2cm">
    <w:name w:val="Standard Eingerückt 2 cm"/>
    <w:basedOn w:val="Normal"/>
    <w:pPr>
      <w:ind w:left="1134"/>
    </w:pPr>
    <w:rPr>
      <w:lang w:eastAsia="de-DE"/>
    </w:rPr>
  </w:style>
  <w:style w:type="paragraph" w:customStyle="1" w:styleId="Titel10Pt">
    <w:name w:val="Titel 10 Pt"/>
    <w:basedOn w:val="Normal"/>
    <w:next w:val="Normal"/>
    <w:qFormat/>
    <w:pPr>
      <w:spacing w:before="520"/>
    </w:pPr>
    <w:rPr>
      <w:b/>
    </w:rPr>
  </w:style>
  <w:style w:type="paragraph" w:customStyle="1" w:styleId="Titel2">
    <w:name w:val="Titel2"/>
    <w:basedOn w:val="Titre"/>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style>
  <w:style w:type="character" w:customStyle="1" w:styleId="CommentaireCar">
    <w:name w:val="Commentaire Car"/>
    <w:link w:val="Commentaire"/>
    <w:uiPriority w:val="99"/>
    <w:rPr>
      <w:lang w:val="de-CH"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de-CH" w:eastAsia="de-CH"/>
    </w:rPr>
  </w:style>
  <w:style w:type="paragraph" w:styleId="En-ttedetabledesmatires">
    <w:name w:val="TOC Heading"/>
    <w:basedOn w:val="Titre1"/>
    <w:next w:val="Normal"/>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TM1">
    <w:name w:val="toc 1"/>
    <w:basedOn w:val="Normal"/>
    <w:next w:val="Normal"/>
    <w:autoRedefine/>
    <w:uiPriority w:val="39"/>
    <w:unhideWhenUsed/>
    <w:pPr>
      <w:tabs>
        <w:tab w:val="right" w:leader="dot" w:pos="14005"/>
      </w:tabs>
      <w:spacing w:after="60"/>
    </w:pPr>
  </w:style>
  <w:style w:type="paragraph" w:styleId="Paragraphedeliste">
    <w:name w:val="List Paragraph"/>
    <w:basedOn w:val="Normal"/>
    <w:uiPriority w:val="34"/>
    <w:rsid w:val="009474BF"/>
    <w:pPr>
      <w:ind w:left="720"/>
      <w:contextualSpacing/>
    </w:pPr>
  </w:style>
  <w:style w:type="paragraph" w:customStyle="1" w:styleId="Default">
    <w:name w:val="Default"/>
    <w:rsid w:val="007C3226"/>
    <w:pPr>
      <w:autoSpaceDE w:val="0"/>
      <w:autoSpaceDN w:val="0"/>
      <w:adjustRightInd w:val="0"/>
    </w:pPr>
    <w:rPr>
      <w:rFonts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ver@blw.admin.ch"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ever@blw.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252FC75-E4EE-4B56-B9FF-AE8A9478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39</Pages>
  <Words>8303</Words>
  <Characters>48278</Characters>
  <Application>Microsoft Office Word</Application>
  <DocSecurity>0</DocSecurity>
  <Lines>402</Lines>
  <Paragraphs>112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56469</CharactersWithSpaces>
  <SharedDoc>false</SharedDoc>
  <HLinks>
    <vt:vector size="120" baseType="variant">
      <vt:variant>
        <vt:i4>1507379</vt:i4>
      </vt:variant>
      <vt:variant>
        <vt:i4>107</vt:i4>
      </vt:variant>
      <vt:variant>
        <vt:i4>0</vt:i4>
      </vt:variant>
      <vt:variant>
        <vt:i4>5</vt:i4>
      </vt:variant>
      <vt:variant>
        <vt:lpwstr/>
      </vt:variant>
      <vt:variant>
        <vt:lpwstr>_Toc346541200</vt:lpwstr>
      </vt:variant>
      <vt:variant>
        <vt:i4>1966128</vt:i4>
      </vt:variant>
      <vt:variant>
        <vt:i4>101</vt:i4>
      </vt:variant>
      <vt:variant>
        <vt:i4>0</vt:i4>
      </vt:variant>
      <vt:variant>
        <vt:i4>5</vt:i4>
      </vt:variant>
      <vt:variant>
        <vt:lpwstr/>
      </vt:variant>
      <vt:variant>
        <vt:lpwstr>_Toc346541199</vt:lpwstr>
      </vt:variant>
      <vt:variant>
        <vt:i4>1966128</vt:i4>
      </vt:variant>
      <vt:variant>
        <vt:i4>95</vt:i4>
      </vt:variant>
      <vt:variant>
        <vt:i4>0</vt:i4>
      </vt:variant>
      <vt:variant>
        <vt:i4>5</vt:i4>
      </vt:variant>
      <vt:variant>
        <vt:lpwstr/>
      </vt:variant>
      <vt:variant>
        <vt:lpwstr>_Toc346541198</vt:lpwstr>
      </vt:variant>
      <vt:variant>
        <vt:i4>1966128</vt:i4>
      </vt:variant>
      <vt:variant>
        <vt:i4>89</vt:i4>
      </vt:variant>
      <vt:variant>
        <vt:i4>0</vt:i4>
      </vt:variant>
      <vt:variant>
        <vt:i4>5</vt:i4>
      </vt:variant>
      <vt:variant>
        <vt:lpwstr/>
      </vt:variant>
      <vt:variant>
        <vt:lpwstr>_Toc346541197</vt:lpwstr>
      </vt:variant>
      <vt:variant>
        <vt:i4>1966128</vt:i4>
      </vt:variant>
      <vt:variant>
        <vt:i4>83</vt:i4>
      </vt:variant>
      <vt:variant>
        <vt:i4>0</vt:i4>
      </vt:variant>
      <vt:variant>
        <vt:i4>5</vt:i4>
      </vt:variant>
      <vt:variant>
        <vt:lpwstr/>
      </vt:variant>
      <vt:variant>
        <vt:lpwstr>_Toc346541196</vt:lpwstr>
      </vt:variant>
      <vt:variant>
        <vt:i4>1966128</vt:i4>
      </vt:variant>
      <vt:variant>
        <vt:i4>77</vt:i4>
      </vt:variant>
      <vt:variant>
        <vt:i4>0</vt:i4>
      </vt:variant>
      <vt:variant>
        <vt:i4>5</vt:i4>
      </vt:variant>
      <vt:variant>
        <vt:lpwstr/>
      </vt:variant>
      <vt:variant>
        <vt:lpwstr>_Toc346541195</vt:lpwstr>
      </vt:variant>
      <vt:variant>
        <vt:i4>1966128</vt:i4>
      </vt:variant>
      <vt:variant>
        <vt:i4>71</vt:i4>
      </vt:variant>
      <vt:variant>
        <vt:i4>0</vt:i4>
      </vt:variant>
      <vt:variant>
        <vt:i4>5</vt:i4>
      </vt:variant>
      <vt:variant>
        <vt:lpwstr/>
      </vt:variant>
      <vt:variant>
        <vt:lpwstr>_Toc346541194</vt:lpwstr>
      </vt:variant>
      <vt:variant>
        <vt:i4>1966128</vt:i4>
      </vt:variant>
      <vt:variant>
        <vt:i4>65</vt:i4>
      </vt:variant>
      <vt:variant>
        <vt:i4>0</vt:i4>
      </vt:variant>
      <vt:variant>
        <vt:i4>5</vt:i4>
      </vt:variant>
      <vt:variant>
        <vt:lpwstr/>
      </vt:variant>
      <vt:variant>
        <vt:lpwstr>_Toc346541193</vt:lpwstr>
      </vt:variant>
      <vt:variant>
        <vt:i4>1966128</vt:i4>
      </vt:variant>
      <vt:variant>
        <vt:i4>59</vt:i4>
      </vt:variant>
      <vt:variant>
        <vt:i4>0</vt:i4>
      </vt:variant>
      <vt:variant>
        <vt:i4>5</vt:i4>
      </vt:variant>
      <vt:variant>
        <vt:lpwstr/>
      </vt:variant>
      <vt:variant>
        <vt:lpwstr>_Toc346541192</vt:lpwstr>
      </vt:variant>
      <vt:variant>
        <vt:i4>1966128</vt:i4>
      </vt:variant>
      <vt:variant>
        <vt:i4>53</vt:i4>
      </vt:variant>
      <vt:variant>
        <vt:i4>0</vt:i4>
      </vt:variant>
      <vt:variant>
        <vt:i4>5</vt:i4>
      </vt:variant>
      <vt:variant>
        <vt:lpwstr/>
      </vt:variant>
      <vt:variant>
        <vt:lpwstr>_Toc346541191</vt:lpwstr>
      </vt:variant>
      <vt:variant>
        <vt:i4>1966128</vt:i4>
      </vt:variant>
      <vt:variant>
        <vt:i4>47</vt:i4>
      </vt:variant>
      <vt:variant>
        <vt:i4>0</vt:i4>
      </vt:variant>
      <vt:variant>
        <vt:i4>5</vt:i4>
      </vt:variant>
      <vt:variant>
        <vt:lpwstr/>
      </vt:variant>
      <vt:variant>
        <vt:lpwstr>_Toc346541190</vt:lpwstr>
      </vt:variant>
      <vt:variant>
        <vt:i4>2031664</vt:i4>
      </vt:variant>
      <vt:variant>
        <vt:i4>41</vt:i4>
      </vt:variant>
      <vt:variant>
        <vt:i4>0</vt:i4>
      </vt:variant>
      <vt:variant>
        <vt:i4>5</vt:i4>
      </vt:variant>
      <vt:variant>
        <vt:lpwstr/>
      </vt:variant>
      <vt:variant>
        <vt:lpwstr>_Toc346541189</vt:lpwstr>
      </vt:variant>
      <vt:variant>
        <vt:i4>2031664</vt:i4>
      </vt:variant>
      <vt:variant>
        <vt:i4>35</vt:i4>
      </vt:variant>
      <vt:variant>
        <vt:i4>0</vt:i4>
      </vt:variant>
      <vt:variant>
        <vt:i4>5</vt:i4>
      </vt:variant>
      <vt:variant>
        <vt:lpwstr/>
      </vt:variant>
      <vt:variant>
        <vt:lpwstr>_Toc346541188</vt:lpwstr>
      </vt:variant>
      <vt:variant>
        <vt:i4>2031664</vt:i4>
      </vt:variant>
      <vt:variant>
        <vt:i4>29</vt:i4>
      </vt:variant>
      <vt:variant>
        <vt:i4>0</vt:i4>
      </vt:variant>
      <vt:variant>
        <vt:i4>5</vt:i4>
      </vt:variant>
      <vt:variant>
        <vt:lpwstr/>
      </vt:variant>
      <vt:variant>
        <vt:lpwstr>_Toc346541187</vt:lpwstr>
      </vt:variant>
      <vt:variant>
        <vt:i4>2031664</vt:i4>
      </vt:variant>
      <vt:variant>
        <vt:i4>23</vt:i4>
      </vt:variant>
      <vt:variant>
        <vt:i4>0</vt:i4>
      </vt:variant>
      <vt:variant>
        <vt:i4>5</vt:i4>
      </vt:variant>
      <vt:variant>
        <vt:lpwstr/>
      </vt:variant>
      <vt:variant>
        <vt:lpwstr>_Toc346541186</vt:lpwstr>
      </vt:variant>
      <vt:variant>
        <vt:i4>2031664</vt:i4>
      </vt:variant>
      <vt:variant>
        <vt:i4>17</vt:i4>
      </vt:variant>
      <vt:variant>
        <vt:i4>0</vt:i4>
      </vt:variant>
      <vt:variant>
        <vt:i4>5</vt:i4>
      </vt:variant>
      <vt:variant>
        <vt:lpwstr/>
      </vt:variant>
      <vt:variant>
        <vt:lpwstr>_Toc346541185</vt:lpwstr>
      </vt:variant>
      <vt:variant>
        <vt:i4>2031664</vt:i4>
      </vt:variant>
      <vt:variant>
        <vt:i4>11</vt:i4>
      </vt:variant>
      <vt:variant>
        <vt:i4>0</vt:i4>
      </vt:variant>
      <vt:variant>
        <vt:i4>5</vt:i4>
      </vt:variant>
      <vt:variant>
        <vt:lpwstr/>
      </vt:variant>
      <vt:variant>
        <vt:lpwstr>_Toc346541184</vt:lpwstr>
      </vt: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blw-met</dc:creator>
  <cp:keywords/>
  <dc:description/>
  <cp:lastModifiedBy>BARDET Loïc</cp:lastModifiedBy>
  <cp:revision>39</cp:revision>
  <cp:lastPrinted>2022-03-09T13:38:00Z</cp:lastPrinted>
  <dcterms:created xsi:type="dcterms:W3CDTF">2022-01-25T08:29:00Z</dcterms:created>
  <dcterms:modified xsi:type="dcterms:W3CDTF">2022-05-05T12:50:00Z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