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5FEA" w14:textId="77777777" w:rsidR="00236682" w:rsidRPr="00532926" w:rsidRDefault="006F4EA6" w:rsidP="00B63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926">
        <w:rPr>
          <w:rFonts w:asciiTheme="minorHAnsi" w:hAnsiTheme="minorHAnsi" w:cstheme="minorHAnsi"/>
          <w:b/>
          <w:sz w:val="28"/>
          <w:szCs w:val="28"/>
        </w:rPr>
        <w:t>Demande de reconnaissance d’équivalence</w:t>
      </w:r>
    </w:p>
    <w:p w14:paraId="2B76406E" w14:textId="2A5F5DB8" w:rsidR="006F4EA6" w:rsidRPr="00532926" w:rsidRDefault="006F4EA6" w:rsidP="00FB1469">
      <w:pPr>
        <w:tabs>
          <w:tab w:val="left" w:leader="dot" w:pos="8505"/>
        </w:tabs>
        <w:spacing w:after="0"/>
        <w:rPr>
          <w:rFonts w:asciiTheme="minorHAnsi" w:hAnsiTheme="minorHAnsi" w:cstheme="minorHAnsi"/>
          <w:b/>
        </w:rPr>
      </w:pPr>
      <w:r w:rsidRPr="00532926">
        <w:rPr>
          <w:rFonts w:asciiTheme="minorHAnsi" w:hAnsiTheme="minorHAnsi" w:cstheme="minorHAnsi"/>
          <w:b/>
        </w:rPr>
        <w:t>Principes</w:t>
      </w:r>
      <w:r w:rsidR="00FB396C" w:rsidRPr="00532926">
        <w:rPr>
          <w:rFonts w:asciiTheme="minorHAnsi" w:hAnsiTheme="minorHAnsi" w:cstheme="minorHAnsi"/>
          <w:b/>
        </w:rPr>
        <w:t xml:space="preserve"> d’octroi</w:t>
      </w:r>
    </w:p>
    <w:p w14:paraId="72929174" w14:textId="3A6DFD31" w:rsidR="006F4EA6" w:rsidRPr="00532926" w:rsidRDefault="006F4EA6" w:rsidP="00FB396C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Equivalences uniquement sur la base de demandes écrites</w:t>
      </w:r>
      <w:r w:rsidR="00886C85">
        <w:rPr>
          <w:rFonts w:asciiTheme="minorHAnsi" w:hAnsiTheme="minorHAnsi" w:cstheme="minorHAnsi"/>
          <w:shd w:val="clear" w:color="auto" w:fill="FFFFFF"/>
        </w:rPr>
        <w:t>, à l’aide de ce document.</w:t>
      </w:r>
    </w:p>
    <w:p w14:paraId="7BE2F2A4" w14:textId="77777777" w:rsidR="006F4EA6" w:rsidRPr="00532926" w:rsidRDefault="006F4EA6" w:rsidP="00FB396C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Pas d’équivalences pour des épreuves des examens finaux</w:t>
      </w:r>
    </w:p>
    <w:p w14:paraId="4C83862C" w14:textId="31D393E8" w:rsidR="006F4EA6" w:rsidRPr="00532926" w:rsidRDefault="006F4EA6" w:rsidP="00FB396C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Reconnaissance de diplômes cantonaux ou fédéraux réussis</w:t>
      </w:r>
      <w:r w:rsidR="006A36B9" w:rsidRPr="00532926">
        <w:rPr>
          <w:rFonts w:asciiTheme="minorHAnsi" w:hAnsiTheme="minorHAnsi" w:cstheme="minorHAnsi"/>
          <w:shd w:val="clear" w:color="auto" w:fill="FFFFFF"/>
        </w:rPr>
        <w:t> ; lors de formations modulaires, des modules réussi</w:t>
      </w:r>
      <w:r w:rsidR="00FB396C" w:rsidRPr="00532926">
        <w:rPr>
          <w:rFonts w:asciiTheme="minorHAnsi" w:hAnsiTheme="minorHAnsi" w:cstheme="minorHAnsi"/>
          <w:shd w:val="clear" w:color="auto" w:fill="FFFFFF"/>
        </w:rPr>
        <w:t>s</w:t>
      </w:r>
      <w:r w:rsidR="006A36B9" w:rsidRPr="00532926">
        <w:rPr>
          <w:rFonts w:asciiTheme="minorHAnsi" w:hAnsiTheme="minorHAnsi" w:cstheme="minorHAnsi"/>
          <w:shd w:val="clear" w:color="auto" w:fill="FFFFFF"/>
        </w:rPr>
        <w:t xml:space="preserve"> peuvent être reconnus</w:t>
      </w:r>
    </w:p>
    <w:p w14:paraId="7BF82A87" w14:textId="77777777" w:rsidR="006F4EA6" w:rsidRPr="00532926" w:rsidRDefault="006F4EA6" w:rsidP="00FB396C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Les contenus et les contrôles de compétence doivent au minimum correspondre à ceux des modules à reconnaître</w:t>
      </w:r>
    </w:p>
    <w:p w14:paraId="7A847141" w14:textId="5735441B" w:rsidR="006F4EA6" w:rsidRPr="00532926" w:rsidRDefault="006F4EA6" w:rsidP="006F4EA6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 xml:space="preserve">Les diplômes obtenus depuis plus de 6 ans ne sont pas reconnus (exception faite des titres du degré secondaire 2 ou en cas d’activité dans le domaine en question après obtention du certificat) </w:t>
      </w:r>
    </w:p>
    <w:p w14:paraId="3182A14B" w14:textId="679F1A32" w:rsidR="00FB1469" w:rsidRPr="00532926" w:rsidRDefault="00FB1469" w:rsidP="006F4EA6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Une liste des titres donnant droit à des équivalences est dressée, pour les demandes futures.</w:t>
      </w:r>
    </w:p>
    <w:p w14:paraId="45F9C053" w14:textId="279B28A6" w:rsidR="006F4EA6" w:rsidRPr="00532926" w:rsidRDefault="006F4EA6" w:rsidP="00FB396C">
      <w:pPr>
        <w:tabs>
          <w:tab w:val="left" w:pos="426"/>
          <w:tab w:val="left" w:leader="dot" w:pos="8505"/>
        </w:tabs>
        <w:spacing w:after="0"/>
        <w:rPr>
          <w:rFonts w:asciiTheme="minorHAnsi" w:hAnsiTheme="minorHAnsi" w:cstheme="minorHAnsi"/>
          <w:shd w:val="clear" w:color="auto" w:fill="FFFFFF"/>
        </w:rPr>
      </w:pPr>
    </w:p>
    <w:p w14:paraId="067322C1" w14:textId="77DDE96D" w:rsidR="00FB396C" w:rsidRPr="00532926" w:rsidRDefault="00FB1469" w:rsidP="00FB1469">
      <w:pPr>
        <w:tabs>
          <w:tab w:val="left" w:leader="dot" w:pos="8505"/>
        </w:tabs>
        <w:spacing w:after="0"/>
        <w:rPr>
          <w:rFonts w:asciiTheme="minorHAnsi" w:hAnsiTheme="minorHAnsi" w:cstheme="minorHAnsi"/>
          <w:b/>
        </w:rPr>
      </w:pPr>
      <w:r w:rsidRPr="00532926">
        <w:rPr>
          <w:rFonts w:asciiTheme="minorHAnsi" w:hAnsiTheme="minorHAnsi" w:cstheme="minorHAnsi"/>
          <w:b/>
        </w:rPr>
        <w:t>Déroulement</w:t>
      </w:r>
    </w:p>
    <w:p w14:paraId="1750EB11" w14:textId="62489422" w:rsidR="00FB1469" w:rsidRPr="00532926" w:rsidRDefault="00FB1469" w:rsidP="00FB1469">
      <w:pPr>
        <w:tabs>
          <w:tab w:val="left" w:leader="dot" w:pos="8505"/>
        </w:tabs>
        <w:spacing w:after="0"/>
        <w:rPr>
          <w:rFonts w:asciiTheme="minorHAnsi" w:hAnsiTheme="minorHAnsi" w:cstheme="minorHAnsi"/>
          <w:b/>
        </w:rPr>
      </w:pPr>
      <w:r w:rsidRPr="00532926">
        <w:rPr>
          <w:rFonts w:asciiTheme="minorHAnsi" w:hAnsiTheme="minorHAnsi" w:cstheme="minorHAnsi"/>
          <w:b/>
        </w:rPr>
        <w:t>Cas de figure 1 : Formations ayant déjà donné droit à des équivalences</w:t>
      </w:r>
    </w:p>
    <w:p w14:paraId="14A5424B" w14:textId="0E5C83AD" w:rsidR="00FB1469" w:rsidRPr="00532926" w:rsidRDefault="00FB396C" w:rsidP="00FB1469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 xml:space="preserve">Le/la </w:t>
      </w:r>
      <w:proofErr w:type="spellStart"/>
      <w:r w:rsidRPr="00532926">
        <w:rPr>
          <w:rFonts w:asciiTheme="minorHAnsi" w:hAnsiTheme="minorHAnsi" w:cstheme="minorHAnsi"/>
          <w:shd w:val="clear" w:color="auto" w:fill="FFFFFF"/>
        </w:rPr>
        <w:t>candidat∙e</w:t>
      </w:r>
      <w:proofErr w:type="spellEnd"/>
      <w:r w:rsidRPr="00532926">
        <w:rPr>
          <w:rFonts w:asciiTheme="minorHAnsi" w:hAnsiTheme="minorHAnsi" w:cstheme="minorHAnsi"/>
          <w:shd w:val="clear" w:color="auto" w:fill="FFFFFF"/>
        </w:rPr>
        <w:t xml:space="preserve"> </w:t>
      </w:r>
      <w:r w:rsidR="00532926" w:rsidRPr="00532926">
        <w:rPr>
          <w:rFonts w:asciiTheme="minorHAnsi" w:hAnsiTheme="minorHAnsi" w:cstheme="minorHAnsi"/>
          <w:shd w:val="clear" w:color="auto" w:fill="FFFFFF"/>
        </w:rPr>
        <w:t xml:space="preserve">complète le présent formulaire et </w:t>
      </w:r>
      <w:r w:rsidR="00E65CCB">
        <w:rPr>
          <w:rFonts w:asciiTheme="minorHAnsi" w:hAnsiTheme="minorHAnsi" w:cstheme="minorHAnsi"/>
          <w:shd w:val="clear" w:color="auto" w:fill="FFFFFF"/>
        </w:rPr>
        <w:t>l’envoie</w:t>
      </w:r>
      <w:r w:rsidR="00E05715" w:rsidRPr="00E05715">
        <w:rPr>
          <w:rFonts w:asciiTheme="minorHAnsi" w:hAnsiTheme="minorHAnsi" w:cstheme="minorHAnsi"/>
          <w:shd w:val="clear" w:color="auto" w:fill="FFFFFF"/>
        </w:rPr>
        <w:t xml:space="preserve"> </w:t>
      </w:r>
      <w:r w:rsidR="00E05715" w:rsidRPr="00532926">
        <w:rPr>
          <w:rFonts w:asciiTheme="minorHAnsi" w:hAnsiTheme="minorHAnsi" w:cstheme="minorHAnsi"/>
          <w:shd w:val="clear" w:color="auto" w:fill="FFFFFF"/>
        </w:rPr>
        <w:t>à la Direction d’examens</w:t>
      </w:r>
      <w:r w:rsidR="00532926" w:rsidRPr="00532926">
        <w:rPr>
          <w:rFonts w:asciiTheme="minorHAnsi" w:hAnsiTheme="minorHAnsi" w:cstheme="minorHAnsi"/>
          <w:shd w:val="clear" w:color="auto" w:fill="FFFFFF"/>
        </w:rPr>
        <w:t>, accompagné des justificatifs</w:t>
      </w:r>
      <w:r w:rsidR="00E05715">
        <w:rPr>
          <w:rFonts w:asciiTheme="minorHAnsi" w:hAnsiTheme="minorHAnsi" w:cstheme="minorHAnsi"/>
          <w:shd w:val="clear" w:color="auto" w:fill="FFFFFF"/>
        </w:rPr>
        <w:t xml:space="preserve">. </w:t>
      </w:r>
      <w:r w:rsidR="00FB1469" w:rsidRPr="00532926">
        <w:rPr>
          <w:rFonts w:asciiTheme="minorHAnsi" w:hAnsiTheme="minorHAnsi" w:cstheme="minorHAnsi"/>
          <w:shd w:val="clear" w:color="auto" w:fill="FFFFFF"/>
        </w:rPr>
        <w:t xml:space="preserve">L’équivalence est </w:t>
      </w:r>
      <w:r w:rsidR="00E05715">
        <w:rPr>
          <w:rFonts w:asciiTheme="minorHAnsi" w:hAnsiTheme="minorHAnsi" w:cstheme="minorHAnsi"/>
          <w:shd w:val="clear" w:color="auto" w:fill="FFFFFF"/>
        </w:rPr>
        <w:t>validée lors de la prochaine séance de la Direction d’examen (4 par année)</w:t>
      </w:r>
      <w:r w:rsidR="00FB1469" w:rsidRPr="00532926">
        <w:rPr>
          <w:rFonts w:asciiTheme="minorHAnsi" w:hAnsiTheme="minorHAnsi" w:cstheme="minorHAnsi"/>
          <w:shd w:val="clear" w:color="auto" w:fill="FFFFFF"/>
        </w:rPr>
        <w:t>, selon les principes ci-dessus. Un émolument de</w:t>
      </w:r>
      <w:r w:rsidR="00E65CCB">
        <w:rPr>
          <w:rFonts w:asciiTheme="minorHAnsi" w:hAnsiTheme="minorHAnsi" w:cstheme="minorHAnsi"/>
          <w:shd w:val="clear" w:color="auto" w:fill="FFFFFF"/>
        </w:rPr>
        <w:t xml:space="preserve"> CHF</w:t>
      </w:r>
      <w:r w:rsidR="00FB1469" w:rsidRPr="00532926">
        <w:rPr>
          <w:rFonts w:asciiTheme="minorHAnsi" w:hAnsiTheme="minorHAnsi" w:cstheme="minorHAnsi"/>
          <w:shd w:val="clear" w:color="auto" w:fill="FFFFFF"/>
        </w:rPr>
        <w:t xml:space="preserve"> 50</w:t>
      </w:r>
      <w:r w:rsidR="00E65CCB">
        <w:rPr>
          <w:rFonts w:asciiTheme="minorHAnsi" w:hAnsiTheme="minorHAnsi" w:cstheme="minorHAnsi"/>
          <w:shd w:val="clear" w:color="auto" w:fill="FFFFFF"/>
        </w:rPr>
        <w:t>.-</w:t>
      </w:r>
      <w:r w:rsidR="00FB1469" w:rsidRPr="00532926">
        <w:rPr>
          <w:rFonts w:asciiTheme="minorHAnsi" w:hAnsiTheme="minorHAnsi" w:cstheme="minorHAnsi"/>
          <w:shd w:val="clear" w:color="auto" w:fill="FFFFFF"/>
        </w:rPr>
        <w:t xml:space="preserve"> par équivalence est </w:t>
      </w:r>
      <w:r w:rsidR="00E65CCB">
        <w:rPr>
          <w:rFonts w:asciiTheme="minorHAnsi" w:hAnsiTheme="minorHAnsi" w:cstheme="minorHAnsi"/>
          <w:shd w:val="clear" w:color="auto" w:fill="FFFFFF"/>
        </w:rPr>
        <w:t>facturé.</w:t>
      </w:r>
    </w:p>
    <w:p w14:paraId="7470B6B5" w14:textId="3050B439" w:rsidR="00FB1469" w:rsidRPr="00532926" w:rsidRDefault="00FB1469" w:rsidP="00FB1469">
      <w:pPr>
        <w:tabs>
          <w:tab w:val="left" w:leader="dot" w:pos="8505"/>
        </w:tabs>
        <w:spacing w:after="0"/>
        <w:rPr>
          <w:rFonts w:asciiTheme="minorHAnsi" w:hAnsiTheme="minorHAnsi" w:cstheme="minorHAnsi"/>
          <w:b/>
        </w:rPr>
      </w:pPr>
      <w:r w:rsidRPr="00532926">
        <w:rPr>
          <w:rFonts w:asciiTheme="minorHAnsi" w:hAnsiTheme="minorHAnsi" w:cstheme="minorHAnsi"/>
          <w:b/>
        </w:rPr>
        <w:t>Cas de figure 2 : Formations pour lesquelles aucune demande n’a encore été déposée</w:t>
      </w:r>
    </w:p>
    <w:p w14:paraId="1042113A" w14:textId="7253A4ED" w:rsidR="00FB396C" w:rsidRPr="00532926" w:rsidRDefault="00FB1469" w:rsidP="00FB396C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 xml:space="preserve">Le/la </w:t>
      </w:r>
      <w:proofErr w:type="spellStart"/>
      <w:r w:rsidRPr="00532926">
        <w:rPr>
          <w:rFonts w:asciiTheme="minorHAnsi" w:hAnsiTheme="minorHAnsi" w:cstheme="minorHAnsi"/>
          <w:shd w:val="clear" w:color="auto" w:fill="FFFFFF"/>
        </w:rPr>
        <w:t>candidat∙e</w:t>
      </w:r>
      <w:proofErr w:type="spellEnd"/>
      <w:r w:rsidRPr="00532926">
        <w:rPr>
          <w:rFonts w:asciiTheme="minorHAnsi" w:hAnsiTheme="minorHAnsi" w:cstheme="minorHAnsi"/>
          <w:shd w:val="clear" w:color="auto" w:fill="FFFFFF"/>
        </w:rPr>
        <w:t xml:space="preserve"> </w:t>
      </w:r>
      <w:r w:rsidR="00FB396C" w:rsidRPr="00532926">
        <w:rPr>
          <w:rFonts w:asciiTheme="minorHAnsi" w:hAnsiTheme="minorHAnsi" w:cstheme="minorHAnsi"/>
          <w:shd w:val="clear" w:color="auto" w:fill="FFFFFF"/>
        </w:rPr>
        <w:t>estime ses chances de réussite avant le dépôt de la demande</w:t>
      </w:r>
    </w:p>
    <w:p w14:paraId="3CEF4B96" w14:textId="17E0A12A" w:rsidR="00E05715" w:rsidRDefault="00FB396C" w:rsidP="00E05715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0"/>
        <w:ind w:left="425" w:hanging="425"/>
        <w:rPr>
          <w:rFonts w:asciiTheme="minorHAnsi" w:hAnsiTheme="minorHAnsi" w:cstheme="minorHAnsi"/>
          <w:shd w:val="clear" w:color="auto" w:fill="FFFFFF"/>
        </w:rPr>
      </w:pPr>
      <w:r w:rsidRPr="00532926">
        <w:rPr>
          <w:rFonts w:asciiTheme="minorHAnsi" w:hAnsiTheme="minorHAnsi" w:cstheme="minorHAnsi"/>
          <w:shd w:val="clear" w:color="auto" w:fill="FFFFFF"/>
        </w:rPr>
        <w:t>Il/elle complète le présent formulaire et l</w:t>
      </w:r>
      <w:r w:rsidR="00E65CCB">
        <w:rPr>
          <w:rFonts w:asciiTheme="minorHAnsi" w:hAnsiTheme="minorHAnsi" w:cstheme="minorHAnsi"/>
          <w:shd w:val="clear" w:color="auto" w:fill="FFFFFF"/>
        </w:rPr>
        <w:t>’envoie</w:t>
      </w:r>
      <w:r w:rsidR="00E05715" w:rsidRPr="00E05715">
        <w:rPr>
          <w:rFonts w:asciiTheme="minorHAnsi" w:hAnsiTheme="minorHAnsi" w:cstheme="minorHAnsi"/>
          <w:shd w:val="clear" w:color="auto" w:fill="FFFFFF"/>
        </w:rPr>
        <w:t xml:space="preserve"> </w:t>
      </w:r>
      <w:r w:rsidR="00E05715" w:rsidRPr="00532926">
        <w:rPr>
          <w:rFonts w:asciiTheme="minorHAnsi" w:hAnsiTheme="minorHAnsi" w:cstheme="minorHAnsi"/>
          <w:shd w:val="clear" w:color="auto" w:fill="FFFFFF"/>
        </w:rPr>
        <w:t>à la Direction d’examens</w:t>
      </w:r>
      <w:r w:rsidRPr="00532926">
        <w:rPr>
          <w:rFonts w:asciiTheme="minorHAnsi" w:hAnsiTheme="minorHAnsi" w:cstheme="minorHAnsi"/>
          <w:shd w:val="clear" w:color="auto" w:fill="FFFFFF"/>
        </w:rPr>
        <w:t>, accompagné des justificatifs</w:t>
      </w:r>
    </w:p>
    <w:p w14:paraId="6FAFCBC0" w14:textId="4563FBCA" w:rsidR="00FA7C5E" w:rsidRPr="00532926" w:rsidRDefault="00E05715" w:rsidP="00FA7C5E">
      <w:pPr>
        <w:numPr>
          <w:ilvl w:val="0"/>
          <w:numId w:val="2"/>
        </w:numPr>
        <w:tabs>
          <w:tab w:val="left" w:pos="426"/>
          <w:tab w:val="left" w:leader="dot" w:pos="8505"/>
        </w:tabs>
        <w:spacing w:after="240"/>
        <w:ind w:left="425" w:hanging="425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La Direction d’examens</w:t>
      </w:r>
      <w:r w:rsidR="00FA7C5E" w:rsidRPr="00532926">
        <w:rPr>
          <w:rFonts w:asciiTheme="minorHAnsi" w:hAnsiTheme="minorHAnsi" w:cstheme="minorHAnsi"/>
          <w:shd w:val="clear" w:color="auto" w:fill="FFFFFF"/>
        </w:rPr>
        <w:t xml:space="preserve"> transmet la demande</w:t>
      </w:r>
      <w:r>
        <w:rPr>
          <w:rFonts w:asciiTheme="minorHAnsi" w:hAnsiTheme="minorHAnsi" w:cstheme="minorHAnsi"/>
          <w:shd w:val="clear" w:color="auto" w:fill="FFFFFF"/>
        </w:rPr>
        <w:t xml:space="preserve"> au comité Assurance qualité qui se positionne. Elle</w:t>
      </w:r>
      <w:r w:rsidR="00FA7C5E" w:rsidRPr="00532926">
        <w:rPr>
          <w:rFonts w:asciiTheme="minorHAnsi" w:hAnsiTheme="minorHAnsi" w:cstheme="minorHAnsi"/>
          <w:shd w:val="clear" w:color="auto" w:fill="FFFFFF"/>
        </w:rPr>
        <w:t xml:space="preserve"> communique l</w:t>
      </w:r>
      <w:r>
        <w:rPr>
          <w:rFonts w:asciiTheme="minorHAnsi" w:hAnsiTheme="minorHAnsi" w:cstheme="minorHAnsi"/>
          <w:shd w:val="clear" w:color="auto" w:fill="FFFFFF"/>
        </w:rPr>
        <w:t>eur</w:t>
      </w:r>
      <w:r w:rsidR="00FA7C5E" w:rsidRPr="00532926">
        <w:rPr>
          <w:rFonts w:asciiTheme="minorHAnsi" w:hAnsiTheme="minorHAnsi" w:cstheme="minorHAnsi"/>
          <w:shd w:val="clear" w:color="auto" w:fill="FFFFFF"/>
        </w:rPr>
        <w:t xml:space="preserve"> décision au/à la </w:t>
      </w:r>
      <w:proofErr w:type="spellStart"/>
      <w:r w:rsidR="00FA7C5E" w:rsidRPr="00532926">
        <w:rPr>
          <w:rFonts w:asciiTheme="minorHAnsi" w:hAnsiTheme="minorHAnsi" w:cstheme="minorHAnsi"/>
          <w:shd w:val="clear" w:color="auto" w:fill="FFFFFF"/>
        </w:rPr>
        <w:t>candidat∙e</w:t>
      </w:r>
      <w:proofErr w:type="spellEnd"/>
      <w:r w:rsidR="00FA7C5E" w:rsidRPr="00532926">
        <w:rPr>
          <w:rFonts w:asciiTheme="minorHAnsi" w:hAnsiTheme="minorHAnsi" w:cstheme="minorHAnsi"/>
          <w:shd w:val="clear" w:color="auto" w:fill="FFFFFF"/>
        </w:rPr>
        <w:t>.</w:t>
      </w:r>
      <w:r>
        <w:rPr>
          <w:rFonts w:asciiTheme="minorHAnsi" w:hAnsiTheme="minorHAnsi" w:cstheme="minorHAnsi"/>
          <w:shd w:val="clear" w:color="auto" w:fill="FFFFFF"/>
        </w:rPr>
        <w:t xml:space="preserve"> Ce processus peut prendre plusieurs mois.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"/>
        <w:gridCol w:w="3029"/>
        <w:gridCol w:w="3031"/>
      </w:tblGrid>
      <w:tr w:rsidR="006F4EA6" w:rsidRPr="00532926" w14:paraId="7FD382DE" w14:textId="77777777" w:rsidTr="00384DB0">
        <w:trPr>
          <w:trHeight w:val="572"/>
        </w:trPr>
        <w:tc>
          <w:tcPr>
            <w:tcW w:w="1908" w:type="pct"/>
            <w:vAlign w:val="center"/>
          </w:tcPr>
          <w:p w14:paraId="4A210F26" w14:textId="521ED2D8" w:rsidR="006F4EA6" w:rsidRPr="00532926" w:rsidRDefault="006F4EA6" w:rsidP="00384DB0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Nom, prénom</w:t>
            </w:r>
            <w:r w:rsidR="00384DB0">
              <w:rPr>
                <w:rFonts w:asciiTheme="minorHAnsi" w:hAnsiTheme="minorHAnsi" w:cstheme="minorHAnsi"/>
              </w:rPr>
              <w:t>, date de naissance</w:t>
            </w:r>
          </w:p>
        </w:tc>
        <w:tc>
          <w:tcPr>
            <w:tcW w:w="3092" w:type="pct"/>
            <w:gridSpan w:val="3"/>
            <w:vAlign w:val="center"/>
          </w:tcPr>
          <w:p w14:paraId="714F072F" w14:textId="77777777" w:rsidR="006F4EA6" w:rsidRPr="00532926" w:rsidRDefault="006F4EA6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396C" w:rsidRPr="00532926" w14:paraId="6F288C36" w14:textId="77777777" w:rsidTr="001A2E13">
        <w:tc>
          <w:tcPr>
            <w:tcW w:w="1908" w:type="pct"/>
            <w:vAlign w:val="center"/>
          </w:tcPr>
          <w:p w14:paraId="50E71A26" w14:textId="2B0715F1" w:rsidR="00FB396C" w:rsidRPr="00532926" w:rsidRDefault="00FB396C" w:rsidP="001A2E13">
            <w:pPr>
              <w:tabs>
                <w:tab w:val="left" w:pos="6480"/>
              </w:tabs>
              <w:spacing w:before="60" w:after="0" w:line="240" w:lineRule="auto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N° portable</w:t>
            </w:r>
          </w:p>
          <w:p w14:paraId="5517E844" w14:textId="0A85FA7C" w:rsidR="00FB396C" w:rsidRPr="00532926" w:rsidRDefault="00FB396C" w:rsidP="001A2E13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Adresse électronique</w:t>
            </w:r>
          </w:p>
        </w:tc>
        <w:tc>
          <w:tcPr>
            <w:tcW w:w="3092" w:type="pct"/>
            <w:gridSpan w:val="3"/>
            <w:vAlign w:val="center"/>
          </w:tcPr>
          <w:p w14:paraId="105EEBEE" w14:textId="49E18B0D" w:rsidR="00FB396C" w:rsidRPr="00532926" w:rsidRDefault="00FB396C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  <w:p w14:paraId="11366760" w14:textId="12F9B344" w:rsidR="00FB396C" w:rsidRPr="00532926" w:rsidRDefault="00FB396C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63C65" w:rsidRPr="00532926" w14:paraId="3C6DE490" w14:textId="77777777" w:rsidTr="00384DB0">
        <w:trPr>
          <w:trHeight w:val="557"/>
        </w:trPr>
        <w:tc>
          <w:tcPr>
            <w:tcW w:w="1911" w:type="pct"/>
            <w:gridSpan w:val="2"/>
            <w:vAlign w:val="center"/>
          </w:tcPr>
          <w:p w14:paraId="6B77F4DA" w14:textId="08201FE4" w:rsidR="001A2E13" w:rsidRPr="00532926" w:rsidRDefault="00B63C65" w:rsidP="00384DB0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proofErr w:type="spellStart"/>
            <w:r w:rsidRPr="00532926">
              <w:rPr>
                <w:rFonts w:asciiTheme="minorHAnsi" w:hAnsiTheme="minorHAnsi" w:cstheme="minorHAnsi"/>
              </w:rPr>
              <w:t>Inscrit∙e</w:t>
            </w:r>
            <w:proofErr w:type="spellEnd"/>
            <w:r w:rsidRPr="00532926">
              <w:rPr>
                <w:rFonts w:asciiTheme="minorHAnsi" w:hAnsiTheme="minorHAnsi" w:cstheme="minorHAnsi"/>
              </w:rPr>
              <w:t xml:space="preserve"> au brevet de</w:t>
            </w:r>
          </w:p>
        </w:tc>
        <w:tc>
          <w:tcPr>
            <w:tcW w:w="1544" w:type="pct"/>
            <w:vAlign w:val="center"/>
          </w:tcPr>
          <w:p w14:paraId="4935FE5B" w14:textId="05F39517" w:rsidR="00B63C65" w:rsidRPr="00532926" w:rsidRDefault="00B63C65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instrText xml:space="preserve"> FORMCHECKBOX </w:instrText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384DB0">
              <w:rPr>
                <w:rFonts w:asciiTheme="minorHAnsi" w:hAnsiTheme="minorHAnsi" w:cstheme="minorHAnsi"/>
              </w:rPr>
              <w:t>paysanne</w:t>
            </w:r>
          </w:p>
        </w:tc>
        <w:tc>
          <w:tcPr>
            <w:tcW w:w="1544" w:type="pct"/>
            <w:vAlign w:val="center"/>
          </w:tcPr>
          <w:p w14:paraId="73F94235" w14:textId="4862017B" w:rsidR="00B63C65" w:rsidRPr="00532926" w:rsidRDefault="00B63C65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instrText xml:space="preserve"> FORMCHECKBOX </w:instrText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="00384DB0">
              <w:rPr>
                <w:rFonts w:asciiTheme="minorHAnsi" w:hAnsiTheme="minorHAnsi" w:cstheme="minorHAnsi"/>
                <w:sz w:val="19"/>
                <w:szCs w:val="19"/>
              </w:rPr>
              <w:t xml:space="preserve"> autre :</w:t>
            </w:r>
          </w:p>
        </w:tc>
      </w:tr>
      <w:tr w:rsidR="00D14587" w:rsidRPr="00532926" w14:paraId="308ED41F" w14:textId="77777777" w:rsidTr="00384DB0">
        <w:trPr>
          <w:trHeight w:val="957"/>
        </w:trPr>
        <w:tc>
          <w:tcPr>
            <w:tcW w:w="1911" w:type="pct"/>
            <w:gridSpan w:val="2"/>
            <w:vAlign w:val="center"/>
          </w:tcPr>
          <w:p w14:paraId="09295846" w14:textId="7FE08108" w:rsidR="00D14587" w:rsidRDefault="00D14587" w:rsidP="00384DB0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Formation suivie</w:t>
            </w:r>
            <w:r w:rsidR="00384DB0">
              <w:rPr>
                <w:rFonts w:asciiTheme="minorHAnsi" w:hAnsiTheme="minorHAnsi" w:cstheme="minorHAnsi"/>
              </w:rPr>
              <w:t xml:space="preserve"> </w:t>
            </w:r>
            <w:r w:rsidRPr="00532926">
              <w:rPr>
                <w:rFonts w:asciiTheme="minorHAnsi" w:hAnsiTheme="minorHAnsi" w:cstheme="minorHAnsi"/>
              </w:rPr>
              <w:t>(en lien avec la demande)</w:t>
            </w:r>
          </w:p>
          <w:p w14:paraId="5EE64526" w14:textId="2FB56E3C" w:rsidR="001A2E13" w:rsidRPr="00532926" w:rsidRDefault="001A2E13" w:rsidP="001A2E13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Uniquement dans le cas de figure 2</w:t>
            </w:r>
          </w:p>
        </w:tc>
        <w:tc>
          <w:tcPr>
            <w:tcW w:w="3089" w:type="pct"/>
            <w:gridSpan w:val="2"/>
            <w:vAlign w:val="center"/>
          </w:tcPr>
          <w:p w14:paraId="2EB3DFBB" w14:textId="77777777" w:rsidR="00D14587" w:rsidRPr="00532926" w:rsidRDefault="00D14587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  <w:p w14:paraId="17FCB0BD" w14:textId="77777777" w:rsidR="00384DB0" w:rsidRDefault="00FB396C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sym w:font="Wingdings" w:char="F0E0"/>
            </w:r>
            <w:r w:rsidRPr="00532926">
              <w:rPr>
                <w:rFonts w:asciiTheme="minorHAnsi" w:hAnsiTheme="minorHAnsi" w:cstheme="minorHAnsi"/>
              </w:rPr>
              <w:t xml:space="preserve"> joindre une copie du </w:t>
            </w:r>
            <w:r w:rsidR="00FB1469" w:rsidRPr="00532926">
              <w:rPr>
                <w:rFonts w:asciiTheme="minorHAnsi" w:hAnsiTheme="minorHAnsi" w:cstheme="minorHAnsi"/>
              </w:rPr>
              <w:t>plan d’étude</w:t>
            </w:r>
          </w:p>
          <w:p w14:paraId="42F79EAB" w14:textId="285A9EE5" w:rsidR="00532926" w:rsidRPr="00532926" w:rsidRDefault="00384DB0" w:rsidP="00384DB0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FB1469" w:rsidRPr="00532926">
              <w:rPr>
                <w:rFonts w:asciiTheme="minorHAnsi" w:hAnsiTheme="minorHAnsi" w:cstheme="minorHAnsi"/>
              </w:rPr>
              <w:t>(parties utiles pour l’examen de la demande)</w:t>
            </w:r>
          </w:p>
        </w:tc>
      </w:tr>
      <w:tr w:rsidR="00D14587" w:rsidRPr="00532926" w14:paraId="7E984B70" w14:textId="77777777" w:rsidTr="001A2E13">
        <w:tc>
          <w:tcPr>
            <w:tcW w:w="1911" w:type="pct"/>
            <w:gridSpan w:val="2"/>
            <w:vAlign w:val="center"/>
          </w:tcPr>
          <w:p w14:paraId="2C127649" w14:textId="77777777" w:rsidR="00D14587" w:rsidRDefault="00D14587" w:rsidP="001A2E13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Titre obtenu</w:t>
            </w:r>
          </w:p>
          <w:p w14:paraId="726C8678" w14:textId="797EDEB8" w:rsidR="001A2E13" w:rsidRPr="00532926" w:rsidRDefault="001A2E13" w:rsidP="001A2E13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3089" w:type="pct"/>
            <w:gridSpan w:val="2"/>
            <w:vAlign w:val="center"/>
          </w:tcPr>
          <w:p w14:paraId="659A8F27" w14:textId="77777777" w:rsidR="00D14587" w:rsidRPr="00532926" w:rsidRDefault="00D14587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  <w:p w14:paraId="07E02335" w14:textId="77777777" w:rsidR="00FB1469" w:rsidRDefault="00FB1469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sym w:font="Wingdings" w:char="F0E0"/>
            </w:r>
            <w:r w:rsidRPr="00532926">
              <w:rPr>
                <w:rFonts w:asciiTheme="minorHAnsi" w:hAnsiTheme="minorHAnsi" w:cstheme="minorHAnsi"/>
              </w:rPr>
              <w:t xml:space="preserve"> joindre une copie du titre obtenu</w:t>
            </w:r>
          </w:p>
          <w:p w14:paraId="486FA84C" w14:textId="386E44E6" w:rsidR="00E05715" w:rsidRPr="00532926" w:rsidRDefault="00384DB0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(s</w:t>
            </w:r>
            <w:r w:rsidR="00E05715">
              <w:rPr>
                <w:rFonts w:asciiTheme="minorHAnsi" w:hAnsiTheme="minorHAnsi" w:cstheme="minorHAnsi"/>
              </w:rPr>
              <w:t>’il date de plus de 6 ans, joindre également un CV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D14587" w:rsidRPr="00532926" w14:paraId="710C3D76" w14:textId="77777777" w:rsidTr="001A2E13">
        <w:tc>
          <w:tcPr>
            <w:tcW w:w="1911" w:type="pct"/>
            <w:gridSpan w:val="2"/>
            <w:vAlign w:val="center"/>
          </w:tcPr>
          <w:p w14:paraId="3393141B" w14:textId="77777777" w:rsidR="00D14587" w:rsidRPr="00532926" w:rsidRDefault="00D14587" w:rsidP="001A2E13">
            <w:pPr>
              <w:tabs>
                <w:tab w:val="left" w:pos="6480"/>
              </w:tabs>
              <w:spacing w:before="60" w:after="0" w:line="240" w:lineRule="atLeast"/>
              <w:ind w:left="104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t>Equivalences demandées (désignation du/des modules)</w:t>
            </w:r>
          </w:p>
        </w:tc>
        <w:tc>
          <w:tcPr>
            <w:tcW w:w="3089" w:type="pct"/>
            <w:gridSpan w:val="2"/>
            <w:vAlign w:val="center"/>
          </w:tcPr>
          <w:p w14:paraId="2C771292" w14:textId="77777777" w:rsidR="00D14587" w:rsidRPr="00532926" w:rsidRDefault="00D14587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  <w:p w14:paraId="6F103ECE" w14:textId="77777777" w:rsidR="00D14587" w:rsidRPr="00532926" w:rsidRDefault="00D14587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  <w:p w14:paraId="5D4667E2" w14:textId="77777777" w:rsidR="00D14587" w:rsidRPr="00532926" w:rsidRDefault="00D14587" w:rsidP="001A2E13">
            <w:pPr>
              <w:tabs>
                <w:tab w:val="left" w:pos="6480"/>
              </w:tabs>
              <w:spacing w:before="60" w:after="0" w:line="240" w:lineRule="atLeast"/>
              <w:rPr>
                <w:rFonts w:asciiTheme="minorHAnsi" w:hAnsiTheme="minorHAnsi" w:cstheme="minorHAnsi"/>
              </w:rPr>
            </w:pPr>
            <w:r w:rsidRPr="0053292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2926">
              <w:rPr>
                <w:rFonts w:asciiTheme="minorHAnsi" w:hAnsiTheme="minorHAnsi" w:cstheme="minorHAnsi"/>
              </w:rPr>
              <w:instrText xml:space="preserve"> FORMTEXT </w:instrText>
            </w:r>
            <w:r w:rsidRPr="00532926">
              <w:rPr>
                <w:rFonts w:asciiTheme="minorHAnsi" w:hAnsiTheme="minorHAnsi" w:cstheme="minorHAnsi"/>
              </w:rPr>
            </w:r>
            <w:r w:rsidRPr="00532926">
              <w:rPr>
                <w:rFonts w:asciiTheme="minorHAnsi" w:hAnsiTheme="minorHAnsi" w:cstheme="minorHAnsi"/>
              </w:rPr>
              <w:fldChar w:fldCharType="separate"/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  <w:noProof/>
              </w:rPr>
              <w:t> </w:t>
            </w:r>
            <w:r w:rsidRPr="0053292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A6B94B3" w14:textId="77777777" w:rsidR="00FB1469" w:rsidRPr="00532926" w:rsidRDefault="00FB1469" w:rsidP="00FA7C5E">
      <w:pPr>
        <w:tabs>
          <w:tab w:val="left" w:leader="dot" w:pos="9214"/>
        </w:tabs>
        <w:spacing w:after="0"/>
        <w:rPr>
          <w:rFonts w:asciiTheme="minorHAnsi" w:hAnsiTheme="minorHAnsi" w:cstheme="minorHAnsi"/>
        </w:rPr>
      </w:pPr>
    </w:p>
    <w:p w14:paraId="52555664" w14:textId="3F1C4119" w:rsidR="00F7490F" w:rsidRDefault="005A29F5" w:rsidP="00FA7C5E">
      <w:pPr>
        <w:tabs>
          <w:tab w:val="left" w:leader="dot" w:pos="9214"/>
        </w:tabs>
        <w:spacing w:after="0"/>
        <w:rPr>
          <w:rFonts w:asciiTheme="minorHAnsi" w:hAnsiTheme="minorHAnsi" w:cstheme="minorHAnsi"/>
        </w:rPr>
      </w:pPr>
      <w:r w:rsidRPr="00532926">
        <w:rPr>
          <w:rFonts w:asciiTheme="minorHAnsi" w:hAnsiTheme="minorHAnsi" w:cstheme="minorHAnsi"/>
        </w:rPr>
        <w:t>Date :</w:t>
      </w:r>
      <w:r w:rsidR="00F7490F" w:rsidRPr="00532926">
        <w:rPr>
          <w:rFonts w:asciiTheme="minorHAnsi" w:hAnsiTheme="minorHAnsi" w:cstheme="minorHAnsi"/>
        </w:rPr>
        <w:t xml:space="preserve"> </w:t>
      </w:r>
      <w:r w:rsidR="00FB396C" w:rsidRPr="00532926">
        <w:rPr>
          <w:rFonts w:asciiTheme="minorHAnsi" w:hAnsiTheme="minorHAnsi" w:cstheme="minorHAnsi"/>
        </w:rPr>
        <w:t xml:space="preserve"> </w:t>
      </w:r>
      <w:r w:rsidR="00FB396C" w:rsidRPr="0053292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396C" w:rsidRPr="00532926">
        <w:rPr>
          <w:rFonts w:asciiTheme="minorHAnsi" w:hAnsiTheme="minorHAnsi" w:cstheme="minorHAnsi"/>
        </w:rPr>
        <w:instrText xml:space="preserve"> FORMTEXT </w:instrText>
      </w:r>
      <w:r w:rsidR="00FB396C" w:rsidRPr="00532926">
        <w:rPr>
          <w:rFonts w:asciiTheme="minorHAnsi" w:hAnsiTheme="minorHAnsi" w:cstheme="minorHAnsi"/>
        </w:rPr>
      </w:r>
      <w:r w:rsidR="00FB396C" w:rsidRPr="00532926">
        <w:rPr>
          <w:rFonts w:asciiTheme="minorHAnsi" w:hAnsiTheme="minorHAnsi" w:cstheme="minorHAnsi"/>
        </w:rPr>
        <w:fldChar w:fldCharType="separate"/>
      </w:r>
      <w:r w:rsidR="00FB396C" w:rsidRPr="00532926">
        <w:rPr>
          <w:rFonts w:asciiTheme="minorHAnsi" w:hAnsiTheme="minorHAnsi" w:cstheme="minorHAnsi"/>
          <w:noProof/>
        </w:rPr>
        <w:t> </w:t>
      </w:r>
      <w:r w:rsidR="00FB396C" w:rsidRPr="00532926">
        <w:rPr>
          <w:rFonts w:asciiTheme="minorHAnsi" w:hAnsiTheme="minorHAnsi" w:cstheme="minorHAnsi"/>
          <w:noProof/>
        </w:rPr>
        <w:t> </w:t>
      </w:r>
      <w:r w:rsidR="00FB396C" w:rsidRPr="00532926">
        <w:rPr>
          <w:rFonts w:asciiTheme="minorHAnsi" w:hAnsiTheme="minorHAnsi" w:cstheme="minorHAnsi"/>
          <w:noProof/>
        </w:rPr>
        <w:t> </w:t>
      </w:r>
      <w:r w:rsidR="00FB396C" w:rsidRPr="00532926">
        <w:rPr>
          <w:rFonts w:asciiTheme="minorHAnsi" w:hAnsiTheme="minorHAnsi" w:cstheme="minorHAnsi"/>
          <w:noProof/>
        </w:rPr>
        <w:t> </w:t>
      </w:r>
      <w:r w:rsidR="00FB396C" w:rsidRPr="00532926">
        <w:rPr>
          <w:rFonts w:asciiTheme="minorHAnsi" w:hAnsiTheme="minorHAnsi" w:cstheme="minorHAnsi"/>
          <w:noProof/>
        </w:rPr>
        <w:t> </w:t>
      </w:r>
      <w:r w:rsidR="00FB396C" w:rsidRPr="00532926">
        <w:rPr>
          <w:rFonts w:asciiTheme="minorHAnsi" w:hAnsiTheme="minorHAnsi" w:cstheme="minorHAnsi"/>
        </w:rPr>
        <w:fldChar w:fldCharType="end"/>
      </w:r>
    </w:p>
    <w:p w14:paraId="52C47876" w14:textId="77777777" w:rsidR="006C48EF" w:rsidRDefault="006C48EF" w:rsidP="00FA7C5E">
      <w:pPr>
        <w:tabs>
          <w:tab w:val="left" w:leader="dot" w:pos="9214"/>
        </w:tabs>
        <w:spacing w:after="0"/>
        <w:rPr>
          <w:rFonts w:asciiTheme="minorHAnsi" w:hAnsiTheme="minorHAnsi" w:cstheme="minorHAnsi"/>
        </w:rPr>
      </w:pPr>
    </w:p>
    <w:p w14:paraId="11600DDD" w14:textId="4963F517" w:rsidR="006C48EF" w:rsidRPr="006C48EF" w:rsidRDefault="006C48EF" w:rsidP="006C48EF">
      <w:pPr>
        <w:tabs>
          <w:tab w:val="left" w:leader="dot" w:pos="9214"/>
        </w:tabs>
        <w:spacing w:after="0"/>
        <w:jc w:val="center"/>
        <w:rPr>
          <w:rFonts w:asciiTheme="minorHAnsi" w:hAnsiTheme="minorHAnsi" w:cstheme="minorHAnsi"/>
          <w:i/>
          <w:iCs/>
        </w:rPr>
      </w:pPr>
      <w:r w:rsidRPr="006C48EF">
        <w:rPr>
          <w:rFonts w:asciiTheme="minorHAnsi" w:hAnsiTheme="minorHAnsi" w:cstheme="minorHAnsi"/>
          <w:i/>
          <w:iCs/>
        </w:rPr>
        <w:t>Veuillez noter que dans le cas où vous utilisez un des modules obtenus par équivalence dans le travail de projet de votre examen final, l’évaluation portera sur les objectifs défini</w:t>
      </w:r>
      <w:r>
        <w:rPr>
          <w:rFonts w:asciiTheme="minorHAnsi" w:hAnsiTheme="minorHAnsi" w:cstheme="minorHAnsi"/>
          <w:i/>
          <w:iCs/>
        </w:rPr>
        <w:t>s</w:t>
      </w:r>
      <w:r w:rsidRPr="006C48EF">
        <w:rPr>
          <w:rFonts w:asciiTheme="minorHAnsi" w:hAnsiTheme="minorHAnsi" w:cstheme="minorHAnsi"/>
          <w:i/>
          <w:iCs/>
        </w:rPr>
        <w:t xml:space="preserve"> dans le module.</w:t>
      </w:r>
    </w:p>
    <w:sectPr w:rsidR="006C48EF" w:rsidRPr="006C48EF" w:rsidSect="00532926">
      <w:headerReference w:type="default" r:id="rId8"/>
      <w:footerReference w:type="default" r:id="rId9"/>
      <w:pgSz w:w="11906" w:h="16838"/>
      <w:pgMar w:top="1417" w:right="849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6A35" w14:textId="77777777" w:rsidR="00FA7C5E" w:rsidRDefault="00FA7C5E" w:rsidP="00FA7C5E">
      <w:pPr>
        <w:spacing w:after="0" w:line="240" w:lineRule="auto"/>
      </w:pPr>
      <w:r>
        <w:separator/>
      </w:r>
    </w:p>
  </w:endnote>
  <w:endnote w:type="continuationSeparator" w:id="0">
    <w:p w14:paraId="7699CEEE" w14:textId="77777777" w:rsidR="00FA7C5E" w:rsidRDefault="00FA7C5E" w:rsidP="00FA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9794" w14:textId="60F5025E" w:rsidR="00532926" w:rsidRPr="002C4BAF" w:rsidRDefault="00532926" w:rsidP="00532926">
    <w:pPr>
      <w:pStyle w:val="Pieddepage"/>
      <w:spacing w:after="0"/>
      <w:jc w:val="center"/>
      <w:rPr>
        <w:rFonts w:cs="Calibri"/>
        <w:sz w:val="18"/>
      </w:rPr>
    </w:pPr>
    <w:r w:rsidRPr="002C4BAF">
      <w:rPr>
        <w:rFonts w:cs="Calibri"/>
        <w:sz w:val="18"/>
      </w:rPr>
      <w:t>AGORA,</w:t>
    </w:r>
    <w:r w:rsidR="00E05715">
      <w:rPr>
        <w:rFonts w:cs="Calibri"/>
        <w:sz w:val="18"/>
      </w:rPr>
      <w:t xml:space="preserve"> DE du brevet de paysanne</w:t>
    </w:r>
    <w:r w:rsidR="00E05715" w:rsidRPr="00E05715">
      <w:rPr>
        <w:rFonts w:cs="Calibri"/>
        <w:sz w:val="18"/>
      </w:rPr>
      <w:t xml:space="preserve"> </w:t>
    </w:r>
    <w:r w:rsidR="00E05715" w:rsidRPr="002C4BAF">
      <w:rPr>
        <w:rFonts w:cs="Calibri"/>
        <w:sz w:val="18"/>
      </w:rPr>
      <w:t xml:space="preserve">• </w:t>
    </w:r>
    <w:r w:rsidRPr="002C4BAF">
      <w:rPr>
        <w:rFonts w:cs="Calibri"/>
        <w:sz w:val="18"/>
      </w:rPr>
      <w:t xml:space="preserve"> Avenue des </w:t>
    </w:r>
    <w:proofErr w:type="spellStart"/>
    <w:r w:rsidRPr="002C4BAF">
      <w:rPr>
        <w:rFonts w:cs="Calibri"/>
        <w:sz w:val="18"/>
      </w:rPr>
      <w:t>Jordils</w:t>
    </w:r>
    <w:proofErr w:type="spellEnd"/>
    <w:r w:rsidRPr="002C4BAF">
      <w:rPr>
        <w:rFonts w:cs="Calibri"/>
        <w:sz w:val="18"/>
      </w:rPr>
      <w:t xml:space="preserve"> 5  •  Case postale 1080 •  1001 Lausanne </w:t>
    </w:r>
  </w:p>
  <w:p w14:paraId="3F8DB280" w14:textId="77777777" w:rsidR="00532926" w:rsidRPr="002C4BAF" w:rsidRDefault="00532926" w:rsidP="00532926">
    <w:pPr>
      <w:pStyle w:val="Pieddepage"/>
      <w:jc w:val="center"/>
      <w:rPr>
        <w:rFonts w:cs="Calibri"/>
      </w:rPr>
    </w:pPr>
    <w:r w:rsidRPr="002C4BAF">
      <w:rPr>
        <w:rFonts w:cs="Calibri"/>
        <w:sz w:val="18"/>
      </w:rPr>
      <w:t>Tél. 021 614 04 7</w:t>
    </w:r>
    <w:r>
      <w:rPr>
        <w:rFonts w:cs="Calibri"/>
        <w:sz w:val="18"/>
      </w:rPr>
      <w:t>9</w:t>
    </w:r>
    <w:r w:rsidRPr="002C4BAF">
      <w:rPr>
        <w:rFonts w:cs="Calibri"/>
        <w:sz w:val="18"/>
      </w:rPr>
      <w:t xml:space="preserve">  •  E-mail : info@agora-romandie.ch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E102" w14:textId="77777777" w:rsidR="00FA7C5E" w:rsidRDefault="00FA7C5E" w:rsidP="00FA7C5E">
      <w:pPr>
        <w:spacing w:after="0" w:line="240" w:lineRule="auto"/>
      </w:pPr>
      <w:r>
        <w:separator/>
      </w:r>
    </w:p>
  </w:footnote>
  <w:footnote w:type="continuationSeparator" w:id="0">
    <w:p w14:paraId="4B9C8CD1" w14:textId="77777777" w:rsidR="00FA7C5E" w:rsidRDefault="00FA7C5E" w:rsidP="00FA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165E" w14:textId="7742BE2F" w:rsidR="00532926" w:rsidRDefault="00532926">
    <w:pPr>
      <w:pStyle w:val="En-tte"/>
    </w:pPr>
    <w:r w:rsidRPr="00532926">
      <w:rPr>
        <w:b/>
        <w:bCs/>
        <w:noProof/>
        <w:sz w:val="20"/>
        <w:szCs w:val="20"/>
        <w:lang w:eastAsia="fr-CH"/>
      </w:rPr>
      <w:drawing>
        <wp:anchor distT="0" distB="0" distL="114300" distR="114300" simplePos="0" relativeHeight="251658240" behindDoc="0" locked="0" layoutInCell="1" allowOverlap="1" wp14:anchorId="7CCEA8AD" wp14:editId="5E5C22A7">
          <wp:simplePos x="0" y="0"/>
          <wp:positionH relativeFrom="margin">
            <wp:posOffset>3958452</wp:posOffset>
          </wp:positionH>
          <wp:positionV relativeFrom="paragraph">
            <wp:posOffset>7787</wp:posOffset>
          </wp:positionV>
          <wp:extent cx="2247320" cy="621952"/>
          <wp:effectExtent l="0" t="0" r="635" b="6985"/>
          <wp:wrapNone/>
          <wp:docPr id="777827570" name="Image 777827570" descr="a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71" cy="6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inline distT="0" distB="0" distL="0" distR="0" wp14:anchorId="60EA189B" wp14:editId="544E5A3A">
          <wp:extent cx="2545080" cy="502920"/>
          <wp:effectExtent l="0" t="0" r="7620" b="0"/>
          <wp:docPr id="1859369679" name="Image 1" descr="Une image contenant text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94631" name="Image 1" descr="Une image contenant texte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2D70A0" w14:textId="1592D187" w:rsidR="00FA7C5E" w:rsidRPr="00532926" w:rsidRDefault="00532926" w:rsidP="00532926">
    <w:pPr>
      <w:rPr>
        <w:rFonts w:cs="Calibri"/>
        <w:b/>
        <w:smallCaps/>
        <w:szCs w:val="24"/>
      </w:rPr>
    </w:pPr>
    <w:r w:rsidRPr="00EC3D21">
      <w:rPr>
        <w:rFonts w:cs="Calibri"/>
        <w:b/>
        <w:smallCaps/>
        <w:szCs w:val="24"/>
      </w:rPr>
      <w:t>Direction romande des examens professionnels de paysanne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3F0D"/>
    <w:multiLevelType w:val="hybridMultilevel"/>
    <w:tmpl w:val="1528282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37BA8"/>
    <w:multiLevelType w:val="hybridMultilevel"/>
    <w:tmpl w:val="7AB29472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02278044">
    <w:abstractNumId w:val="1"/>
  </w:num>
  <w:num w:numId="2" w16cid:durableId="148662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0F"/>
    <w:rsid w:val="000B46A7"/>
    <w:rsid w:val="001A2E13"/>
    <w:rsid w:val="001B0D94"/>
    <w:rsid w:val="00236682"/>
    <w:rsid w:val="002E6B69"/>
    <w:rsid w:val="00366575"/>
    <w:rsid w:val="00384DB0"/>
    <w:rsid w:val="004642CB"/>
    <w:rsid w:val="00532926"/>
    <w:rsid w:val="005A29F5"/>
    <w:rsid w:val="006A36B9"/>
    <w:rsid w:val="006C48EF"/>
    <w:rsid w:val="006F4EA6"/>
    <w:rsid w:val="00770DDE"/>
    <w:rsid w:val="00886C85"/>
    <w:rsid w:val="009303D7"/>
    <w:rsid w:val="00AD01A1"/>
    <w:rsid w:val="00B63C65"/>
    <w:rsid w:val="00D14587"/>
    <w:rsid w:val="00DE146B"/>
    <w:rsid w:val="00E05715"/>
    <w:rsid w:val="00E448D4"/>
    <w:rsid w:val="00E65CCB"/>
    <w:rsid w:val="00F7490F"/>
    <w:rsid w:val="00FA7C5E"/>
    <w:rsid w:val="00FB1469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6587CF2"/>
  <w15:chartTrackingRefBased/>
  <w15:docId w15:val="{E21CBCE7-A71B-415D-9E85-A5E7CB55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90F"/>
    <w:pPr>
      <w:ind w:left="720"/>
      <w:contextualSpacing/>
    </w:pPr>
  </w:style>
  <w:style w:type="character" w:styleId="Lienhypertexte">
    <w:name w:val="Hyperlink"/>
    <w:uiPriority w:val="99"/>
    <w:unhideWhenUsed/>
    <w:rsid w:val="004642CB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396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A7C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7C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FA7C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7C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F930-7E31-472A-9093-16A0E1D3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Prométerre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cp:lastModifiedBy>DAUPHIN Christelle</cp:lastModifiedBy>
  <cp:revision>8</cp:revision>
  <cp:lastPrinted>2013-11-29T09:15:00Z</cp:lastPrinted>
  <dcterms:created xsi:type="dcterms:W3CDTF">2025-09-19T07:40:00Z</dcterms:created>
  <dcterms:modified xsi:type="dcterms:W3CDTF">2025-09-19T08:03:00Z</dcterms:modified>
</cp:coreProperties>
</file>